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D01F" w14:textId="38150926" w:rsidR="00772E4C" w:rsidRPr="00D638DD" w:rsidRDefault="00E21FCF">
      <w:pPr>
        <w:rPr>
          <w:b/>
          <w:bCs/>
          <w:sz w:val="28"/>
          <w:szCs w:val="28"/>
          <w:lang w:val="en-US"/>
        </w:rPr>
      </w:pPr>
      <w:r w:rsidRPr="00D638DD">
        <w:rPr>
          <w:b/>
          <w:bCs/>
          <w:sz w:val="28"/>
          <w:szCs w:val="28"/>
          <w:lang w:val="en-US"/>
        </w:rPr>
        <w:t>Analysis plan</w:t>
      </w:r>
    </w:p>
    <w:p w14:paraId="5FE63D83" w14:textId="77777777" w:rsidR="00217FE2" w:rsidRPr="00D638DD" w:rsidRDefault="00217FE2" w:rsidP="00217FE2">
      <w:pPr>
        <w:rPr>
          <w:sz w:val="28"/>
          <w:szCs w:val="28"/>
          <w:lang w:val="en-US"/>
        </w:rPr>
      </w:pPr>
      <w:r w:rsidRPr="00D638DD">
        <w:rPr>
          <w:sz w:val="28"/>
          <w:szCs w:val="28"/>
          <w:lang w:val="en-US"/>
        </w:rPr>
        <w:t>Clinical and molecular epidemiology of carbapenemase-producing Enterobacterales in hospitalized patients in the Cape Town Metropole, South Africa</w:t>
      </w:r>
    </w:p>
    <w:p w14:paraId="1DAB8353" w14:textId="43F637A7" w:rsidR="00A8455B" w:rsidRPr="00D638DD" w:rsidRDefault="00A8455B" w:rsidP="00217FE2">
      <w:pPr>
        <w:rPr>
          <w:sz w:val="28"/>
          <w:szCs w:val="28"/>
          <w:lang w:val="en-US"/>
        </w:rPr>
      </w:pPr>
      <w:r w:rsidRPr="00D638DD">
        <w:rPr>
          <w:sz w:val="28"/>
          <w:szCs w:val="28"/>
          <w:lang w:val="en-US"/>
        </w:rPr>
        <w:t>Authors: Dr. Shantelle Claassen-Weitz and Dr</w:t>
      </w:r>
      <w:r w:rsidR="00B92E3E">
        <w:rPr>
          <w:sz w:val="28"/>
          <w:szCs w:val="28"/>
          <w:lang w:val="en-US"/>
        </w:rPr>
        <w:t>.</w:t>
      </w:r>
      <w:r w:rsidR="00D638DD" w:rsidRPr="00D638DD">
        <w:rPr>
          <w:sz w:val="28"/>
          <w:szCs w:val="28"/>
          <w:lang w:val="en-US"/>
        </w:rPr>
        <w:t xml:space="preserve"> Clinton Moodley</w:t>
      </w:r>
    </w:p>
    <w:p w14:paraId="2DD4D864" w14:textId="602428EF" w:rsidR="00217FE2" w:rsidRDefault="00D638DD">
      <w:pPr>
        <w:rPr>
          <w:lang w:val="en-US"/>
        </w:rPr>
      </w:pPr>
      <w:r>
        <w:rPr>
          <w:lang w:val="en-US"/>
        </w:rPr>
        <w:t>__________________________________________________________________________________</w:t>
      </w:r>
    </w:p>
    <w:p w14:paraId="07318A25" w14:textId="034FA550" w:rsidR="0060551C" w:rsidRPr="00EE6F64" w:rsidRDefault="00D638DD" w:rsidP="00BD3528">
      <w:pPr>
        <w:jc w:val="both"/>
        <w:rPr>
          <w:b/>
          <w:bCs/>
          <w:lang w:val="en-US"/>
        </w:rPr>
      </w:pPr>
      <w:r w:rsidRPr="00EE6F64">
        <w:rPr>
          <w:b/>
          <w:bCs/>
          <w:lang w:val="en-US"/>
        </w:rPr>
        <w:t>Background:</w:t>
      </w:r>
    </w:p>
    <w:p w14:paraId="7EFF1645" w14:textId="37223D01" w:rsidR="00ED4E27" w:rsidRDefault="0033318E" w:rsidP="00BD3528">
      <w:pPr>
        <w:jc w:val="both"/>
        <w:rPr>
          <w:lang w:val="en-US"/>
        </w:rPr>
      </w:pPr>
      <w:r>
        <w:rPr>
          <w:lang w:val="en-US"/>
        </w:rPr>
        <w:t xml:space="preserve">Inappropriate prescription and administration of </w:t>
      </w:r>
      <w:r w:rsidR="0056189B">
        <w:rPr>
          <w:lang w:val="en-US"/>
        </w:rPr>
        <w:t>antibacterial</w:t>
      </w:r>
      <w:r w:rsidR="00814DC2">
        <w:rPr>
          <w:lang w:val="en-US"/>
        </w:rPr>
        <w:t xml:space="preserve"> </w:t>
      </w:r>
      <w:r w:rsidR="00813BF2">
        <w:rPr>
          <w:lang w:val="en-US"/>
        </w:rPr>
        <w:t>drugs</w:t>
      </w:r>
      <w:r>
        <w:rPr>
          <w:lang w:val="en-US"/>
        </w:rPr>
        <w:t xml:space="preserve"> </w:t>
      </w:r>
      <w:r w:rsidR="007D5B1D">
        <w:rPr>
          <w:lang w:val="en-US"/>
        </w:rPr>
        <w:t xml:space="preserve">have resulted in </w:t>
      </w:r>
      <w:r w:rsidR="00C90803">
        <w:rPr>
          <w:lang w:val="en-US"/>
        </w:rPr>
        <w:t xml:space="preserve">resistant bacteria becoming </w:t>
      </w:r>
      <w:r w:rsidR="006C5D30">
        <w:rPr>
          <w:lang w:val="en-US"/>
        </w:rPr>
        <w:t>a primary</w:t>
      </w:r>
      <w:r w:rsidR="009D2DCA">
        <w:rPr>
          <w:lang w:val="en-US"/>
        </w:rPr>
        <w:t xml:space="preserve"> public health treat</w:t>
      </w:r>
      <w:r w:rsidR="0056189B">
        <w:rPr>
          <w:lang w:val="en-US"/>
        </w:rPr>
        <w:t xml:space="preserve"> </w:t>
      </w:r>
      <w:r w:rsidR="007B2071">
        <w:rPr>
          <w:lang w:val="en-US"/>
        </w:rPr>
        <w:fldChar w:fldCharType="begin" w:fldLock="1"/>
      </w:r>
      <w:r w:rsidR="00B67F11">
        <w:rPr>
          <w:lang w:val="en-US"/>
        </w:rPr>
        <w:instrText>ADDIN CSL_CITATION {"citationItems":[{"id":"ITEM-1","itemData":{"DOI":"10.1016/S0140-6736(21)02724-0","ISSN":"1474547X","PMID":"35065702","abstract":"Background: 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 Methods: We estimated deaths and disability-adjusted life-years (DALYs) attributable to and associated with bacterial AMR for 23 pathogens and 88 pathogen–drug combinations in 204 countries and territories in 2019. We obtained data from systematic literature reviews, hospital systems, surveillance systems, and other sources, covering 471 million individual records or isolates and 7585 study-location-years. We used predictive statistical modelling to produce estimates of AMR burden for all locations, including for locations with no data. Our approach can be divided into five broad components: number of deaths where infection played a role, proportion of infectious deaths attributable to a given infectious syndrome, proportion of infectious syndrome deaths attributable to a given pathogen, the percentage of a given pathogen resistant to an antibiotic of interest, and the excess risk of death or duration of an infection associated with this resistance. Using these components, we estimated disease burden based on two counterfactuals: deaths attributable to AMR (based on an alternative scenario in which all drug-resistant infections were replaced by drug-susceptible infections), and deaths associated with AMR (based on an alternative scenario in which all drug-resistant infections were replaced by no infection). We generated 95% uncertainty intervals (UIs) for final estimates as the 25th and 975th ordered values across 1000 posterior draws, and models were cross-validated for out-of-sample predictive validity. We present final estimates aggregated to the global and regional level. Findings: On the basis of our predictive statistical models, there were an estimated 4·95 million (3·62–6·57) deaths associated with bacterial AMR in 2019, including 1·27 million (95% UI 0·911–1·71) deaths attributable to bacterial AMR. At the regional level, we estimated the all-age death rate attributable to resistance to be highest in western sub-Saharan Africa, at 27·3 deaths per 100 000 (20·9–35·3), and lowest in Australasia, at 6·5 deaths (4·3–9·4) per 100 000. Lower respiratory infections accounted for mo…","author":[{"dropping-particle":"","family":"Antimicrobial Resistance Collaborators","given":"","non-dropping-particle":"","parse-names":false,"suffix":""}],"container-title":"The Lancet","id":"ITEM-1","issue":"10325","issued":{"date-parts":[["2022"]]},"page":"629-655","title":"Global burden of bacterial antimicrobial resistance in 2019: a systematic analysis","type":"article-journal","volume":"399"},"uris":["http://www.mendeley.com/documents/?uuid=48d59e9c-e383-4809-9a68-2307d95f3d83"]}],"mendeley":{"formattedCitation":"[1]","plainTextFormattedCitation":"[1]","previouslyFormattedCitation":"[1]"},"properties":{"noteIndex":0},"schema":"https://github.com/citation-style-language/schema/raw/master/csl-citation.json"}</w:instrText>
      </w:r>
      <w:r w:rsidR="007B2071">
        <w:rPr>
          <w:lang w:val="en-US"/>
        </w:rPr>
        <w:fldChar w:fldCharType="separate"/>
      </w:r>
      <w:r w:rsidR="007B2071" w:rsidRPr="007B2071">
        <w:rPr>
          <w:noProof/>
          <w:lang w:val="en-US"/>
        </w:rPr>
        <w:t>[1]</w:t>
      </w:r>
      <w:r w:rsidR="007B2071">
        <w:rPr>
          <w:lang w:val="en-US"/>
        </w:rPr>
        <w:fldChar w:fldCharType="end"/>
      </w:r>
      <w:r w:rsidR="007B2071">
        <w:rPr>
          <w:lang w:val="en-US"/>
        </w:rPr>
        <w:t>.</w:t>
      </w:r>
      <w:r w:rsidR="00E66BA9">
        <w:rPr>
          <w:lang w:val="en-US"/>
        </w:rPr>
        <w:t xml:space="preserve"> </w:t>
      </w:r>
      <w:r w:rsidR="00C46CD7">
        <w:rPr>
          <w:lang w:val="en-US"/>
        </w:rPr>
        <w:t>In 2019</w:t>
      </w:r>
      <w:r w:rsidR="00E55F59">
        <w:rPr>
          <w:lang w:val="en-US"/>
        </w:rPr>
        <w:t xml:space="preserve">, </w:t>
      </w:r>
      <w:r w:rsidR="005315C2">
        <w:rPr>
          <w:lang w:val="en-US"/>
        </w:rPr>
        <w:t>s</w:t>
      </w:r>
      <w:r w:rsidR="00E26487">
        <w:rPr>
          <w:lang w:val="en-US"/>
        </w:rPr>
        <w:t>ub-Saharan Africa</w:t>
      </w:r>
      <w:r w:rsidR="008577C7">
        <w:rPr>
          <w:lang w:val="en-US"/>
        </w:rPr>
        <w:t xml:space="preserve"> </w:t>
      </w:r>
      <w:r w:rsidR="00E55F59">
        <w:rPr>
          <w:lang w:val="en-US"/>
        </w:rPr>
        <w:t>showed</w:t>
      </w:r>
      <w:r w:rsidR="00E26487">
        <w:rPr>
          <w:lang w:val="en-US"/>
        </w:rPr>
        <w:t xml:space="preserve"> the highest </w:t>
      </w:r>
      <w:r w:rsidR="001F71BB">
        <w:rPr>
          <w:lang w:val="en-US"/>
        </w:rPr>
        <w:t>antibacterial resistan</w:t>
      </w:r>
      <w:r w:rsidR="00FD0E71">
        <w:rPr>
          <w:lang w:val="en-US"/>
        </w:rPr>
        <w:t xml:space="preserve">ce </w:t>
      </w:r>
      <w:r w:rsidR="00E26487">
        <w:rPr>
          <w:lang w:val="en-US"/>
        </w:rPr>
        <w:t>burden</w:t>
      </w:r>
      <w:r w:rsidR="00C46CD7">
        <w:rPr>
          <w:lang w:val="en-US"/>
        </w:rPr>
        <w:t xml:space="preserve"> </w:t>
      </w:r>
      <w:r w:rsidR="002827C8">
        <w:rPr>
          <w:lang w:val="en-US"/>
        </w:rPr>
        <w:t>globally</w:t>
      </w:r>
      <w:r w:rsidR="00E26487">
        <w:rPr>
          <w:lang w:val="en-US"/>
        </w:rPr>
        <w:t xml:space="preserve"> </w:t>
      </w:r>
      <w:r w:rsidR="008577C7">
        <w:rPr>
          <w:lang w:val="en-US"/>
        </w:rPr>
        <w:fldChar w:fldCharType="begin" w:fldLock="1"/>
      </w:r>
      <w:r w:rsidR="00B67F11">
        <w:rPr>
          <w:lang w:val="en-US"/>
        </w:rPr>
        <w:instrText>ADDIN CSL_CITATION {"citationItems":[{"id":"ITEM-1","itemData":{"DOI":"10.1016/S0140-6736(21)02724-0","ISSN":"1474547X","PMID":"35065702","abstract":"Background: 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 Methods: We estimated deaths and disability-adjusted life-years (DALYs) attributable to and associated with bacterial AMR for 23 pathogens and 88 pathogen–drug combinations in 204 countries and territories in 2019. We obtained data from systematic literature reviews, hospital systems, surveillance systems, and other sources, covering 471 million individual records or isolates and 7585 study-location-years. We used predictive statistical modelling to produce estimates of AMR burden for all locations, including for locations with no data. Our approach can be divided into five broad components: number of deaths where infection played a role, proportion of infectious deaths attributable to a given infectious syndrome, proportion of infectious syndrome deaths attributable to a given pathogen, the percentage of a given pathogen resistant to an antibiotic of interest, and the excess risk of death or duration of an infection associated with this resistance. Using these components, we estimated disease burden based on two counterfactuals: deaths attributable to AMR (based on an alternative scenario in which all drug-resistant infections were replaced by drug-susceptible infections), and deaths associated with AMR (based on an alternative scenario in which all drug-resistant infections were replaced by no infection). We generated 95% uncertainty intervals (UIs) for final estimates as the 25th and 975th ordered values across 1000 posterior draws, and models were cross-validated for out-of-sample predictive validity. We present final estimates aggregated to the global and regional level. Findings: On the basis of our predictive statistical models, there were an estimated 4·95 million (3·62–6·57) deaths associated with bacterial AMR in 2019, including 1·27 million (95% UI 0·911–1·71) deaths attributable to bacterial AMR. At the regional level, we estimated the all-age death rate attributable to resistance to be highest in western sub-Saharan Africa, at 27·3 deaths per 100 000 (20·9–35·3), and lowest in Australasia, at 6·5 deaths (4·3–9·4) per 100 000. Lower respiratory infections accounted for mo…","author":[{"dropping-particle":"","family":"Antimicrobial Resistance Collaborators","given":"","non-dropping-particle":"","parse-names":false,"suffix":""}],"container-title":"The Lancet","id":"ITEM-1","issue":"10325","issued":{"date-parts":[["2022"]]},"page":"629-655","title":"Global burden of bacterial antimicrobial resistance in 2019: a systematic analysis","type":"article-journal","volume":"399"},"uris":["http://www.mendeley.com/documents/?uuid=48d59e9c-e383-4809-9a68-2307d95f3d83"]}],"mendeley":{"formattedCitation":"[1]","plainTextFormattedCitation":"[1]","previouslyFormattedCitation":"[1]"},"properties":{"noteIndex":0},"schema":"https://github.com/citation-style-language/schema/raw/master/csl-citation.json"}</w:instrText>
      </w:r>
      <w:r w:rsidR="008577C7">
        <w:rPr>
          <w:lang w:val="en-US"/>
        </w:rPr>
        <w:fldChar w:fldCharType="separate"/>
      </w:r>
      <w:r w:rsidR="008577C7" w:rsidRPr="007B2071">
        <w:rPr>
          <w:noProof/>
          <w:lang w:val="en-US"/>
        </w:rPr>
        <w:t>[1]</w:t>
      </w:r>
      <w:r w:rsidR="008577C7">
        <w:rPr>
          <w:lang w:val="en-US"/>
        </w:rPr>
        <w:fldChar w:fldCharType="end"/>
      </w:r>
      <w:r w:rsidR="00A56623" w:rsidRPr="00A56623">
        <w:rPr>
          <w:lang w:val="en-US"/>
        </w:rPr>
        <w:t>.</w:t>
      </w:r>
    </w:p>
    <w:p w14:paraId="10D9EE22" w14:textId="53FEE5A4" w:rsidR="006F4ACA" w:rsidRDefault="007E22EC" w:rsidP="00BD3528">
      <w:pPr>
        <w:jc w:val="both"/>
        <w:rPr>
          <w:lang w:val="en-US"/>
        </w:rPr>
      </w:pPr>
      <w:r>
        <w:rPr>
          <w:lang w:val="en-US"/>
        </w:rPr>
        <w:t xml:space="preserve">In 2017, </w:t>
      </w:r>
      <w:r w:rsidR="00566AC0">
        <w:rPr>
          <w:lang w:val="en-US"/>
        </w:rPr>
        <w:t xml:space="preserve">the World Health Organization (WHO) </w:t>
      </w:r>
      <w:r w:rsidR="00E163A8">
        <w:rPr>
          <w:lang w:val="en-US"/>
        </w:rPr>
        <w:t>identified</w:t>
      </w:r>
      <w:r w:rsidR="00566AC0">
        <w:rPr>
          <w:lang w:val="en-US"/>
        </w:rPr>
        <w:t xml:space="preserve"> </w:t>
      </w:r>
      <w:r w:rsidR="008E298A">
        <w:rPr>
          <w:lang w:val="en-US"/>
        </w:rPr>
        <w:t xml:space="preserve">antibiotic resistant bacteria </w:t>
      </w:r>
      <w:r w:rsidR="001A48E2">
        <w:rPr>
          <w:lang w:val="en-US"/>
        </w:rPr>
        <w:t xml:space="preserve">for which </w:t>
      </w:r>
      <w:r w:rsidR="00361215">
        <w:rPr>
          <w:lang w:val="en-US"/>
        </w:rPr>
        <w:t xml:space="preserve">new antibiotics </w:t>
      </w:r>
      <w:r w:rsidR="001A48E2">
        <w:rPr>
          <w:lang w:val="en-US"/>
        </w:rPr>
        <w:t>are urgently required</w:t>
      </w:r>
      <w:r w:rsidR="00B67F11">
        <w:rPr>
          <w:lang w:val="en-US"/>
        </w:rPr>
        <w:t xml:space="preserve"> </w:t>
      </w:r>
      <w:r w:rsidR="00B67F11">
        <w:rPr>
          <w:lang w:val="en-US"/>
        </w:rPr>
        <w:fldChar w:fldCharType="begin" w:fldLock="1"/>
      </w:r>
      <w:r w:rsidR="00BB5FB0">
        <w:rPr>
          <w:lang w:val="en-US"/>
        </w:rPr>
        <w:instrText>ADDIN CSL_CITATION {"citationItems":[{"id":"ITEM-1","itemData":{"URL":"https://www.who.int/news/item/27-02-2017-who-publishes-list-of-bacteria-for-which-new-antibiotics-are-urgently-needed","author":[{"dropping-particle":"","family":"Organization","given":"World Health","non-dropping-particle":"","parse-names":false,"suffix":""}],"id":"ITEM-1","issued":{"date-parts":[["2017"]]},"title":"WHO Priority Pathogens List for R&amp;D of New Antibiotics.","type":"webpage"},"uris":["http://www.mendeley.com/documents/?uuid=45c92d5f-c2e8-42f7-842a-e85a72bd8796"]}],"mendeley":{"formattedCitation":"[2]","plainTextFormattedCitation":"[2]","previouslyFormattedCitation":"[2]"},"properties":{"noteIndex":0},"schema":"https://github.com/citation-style-language/schema/raw/master/csl-citation.json"}</w:instrText>
      </w:r>
      <w:r w:rsidR="00B67F11">
        <w:rPr>
          <w:lang w:val="en-US"/>
        </w:rPr>
        <w:fldChar w:fldCharType="separate"/>
      </w:r>
      <w:r w:rsidR="00B67F11" w:rsidRPr="00B67F11">
        <w:rPr>
          <w:noProof/>
          <w:lang w:val="en-US"/>
        </w:rPr>
        <w:t>[2]</w:t>
      </w:r>
      <w:r w:rsidR="00B67F11">
        <w:rPr>
          <w:lang w:val="en-US"/>
        </w:rPr>
        <w:fldChar w:fldCharType="end"/>
      </w:r>
      <w:r w:rsidR="00207DDB">
        <w:rPr>
          <w:lang w:val="en-US"/>
        </w:rPr>
        <w:t>.</w:t>
      </w:r>
      <w:r w:rsidR="00C200E8">
        <w:rPr>
          <w:lang w:val="en-US"/>
        </w:rPr>
        <w:t xml:space="preserve"> </w:t>
      </w:r>
      <w:r w:rsidR="002B61FF">
        <w:rPr>
          <w:lang w:val="en-US"/>
        </w:rPr>
        <w:t>High priority antibiotic resistant bacteria included</w:t>
      </w:r>
      <w:r w:rsidR="00207DDB">
        <w:rPr>
          <w:lang w:val="en-US"/>
        </w:rPr>
        <w:t xml:space="preserve"> </w:t>
      </w:r>
      <w:r w:rsidR="00AB6ADC" w:rsidRPr="00AB6ADC">
        <w:rPr>
          <w:lang w:val="en-US"/>
        </w:rPr>
        <w:t>carbapenem</w:t>
      </w:r>
      <w:r w:rsidR="00AB6ADC">
        <w:rPr>
          <w:lang w:val="en-US"/>
        </w:rPr>
        <w:t>-</w:t>
      </w:r>
      <w:r w:rsidR="002E28CA">
        <w:rPr>
          <w:lang w:val="en-US"/>
        </w:rPr>
        <w:t>resistant</w:t>
      </w:r>
      <w:r w:rsidR="00AB6ADC" w:rsidRPr="00AB6ADC">
        <w:rPr>
          <w:lang w:val="en-US"/>
        </w:rPr>
        <w:t xml:space="preserve"> </w:t>
      </w:r>
      <w:r w:rsidR="00CC2D4A" w:rsidRPr="002B4DC3">
        <w:rPr>
          <w:i/>
          <w:iCs/>
          <w:lang w:val="en-US"/>
        </w:rPr>
        <w:t>Acinetobacter baumannii</w:t>
      </w:r>
      <w:r w:rsidR="00CC2D4A">
        <w:rPr>
          <w:lang w:val="en-US"/>
        </w:rPr>
        <w:t xml:space="preserve"> and </w:t>
      </w:r>
      <w:r w:rsidR="00CC2D4A" w:rsidRPr="002B4DC3">
        <w:rPr>
          <w:i/>
          <w:iCs/>
          <w:lang w:val="en-US"/>
        </w:rPr>
        <w:t>Pseudomonas aeruginosa</w:t>
      </w:r>
      <w:r w:rsidR="00CC2D4A">
        <w:rPr>
          <w:lang w:val="en-US"/>
        </w:rPr>
        <w:t>, as well as</w:t>
      </w:r>
      <w:r w:rsidR="00AB6ADC" w:rsidRPr="00AB6ADC">
        <w:rPr>
          <w:lang w:val="en-US"/>
        </w:rPr>
        <w:t xml:space="preserve"> </w:t>
      </w:r>
      <w:r w:rsidR="002E28CA">
        <w:rPr>
          <w:lang w:val="en-US"/>
        </w:rPr>
        <w:t>e</w:t>
      </w:r>
      <w:r w:rsidR="002E28CA" w:rsidRPr="002E28CA">
        <w:rPr>
          <w:lang w:val="en-US"/>
        </w:rPr>
        <w:t>xtended-spectrum beta-lactamase</w:t>
      </w:r>
      <w:r w:rsidR="002E28CA">
        <w:rPr>
          <w:lang w:val="en-US"/>
        </w:rPr>
        <w:t xml:space="preserve">-producing </w:t>
      </w:r>
      <w:r w:rsidR="00B1620C">
        <w:rPr>
          <w:lang w:val="en-US"/>
        </w:rPr>
        <w:t xml:space="preserve">(ESBL-producing) </w:t>
      </w:r>
      <w:r w:rsidR="0009095F">
        <w:rPr>
          <w:lang w:val="en-US"/>
        </w:rPr>
        <w:t xml:space="preserve">and carbapenem-resistant </w:t>
      </w:r>
      <w:r w:rsidR="002B4DC3">
        <w:rPr>
          <w:lang w:val="en-US"/>
        </w:rPr>
        <w:t>Enterobacteriaceae</w:t>
      </w:r>
      <w:r w:rsidR="00B67F11">
        <w:rPr>
          <w:lang w:val="en-US"/>
        </w:rPr>
        <w:t xml:space="preserve"> </w:t>
      </w:r>
      <w:r w:rsidR="00B67F11">
        <w:rPr>
          <w:lang w:val="en-US"/>
        </w:rPr>
        <w:fldChar w:fldCharType="begin" w:fldLock="1"/>
      </w:r>
      <w:r w:rsidR="00BB5FB0">
        <w:rPr>
          <w:lang w:val="en-US"/>
        </w:rPr>
        <w:instrText>ADDIN CSL_CITATION {"citationItems":[{"id":"ITEM-1","itemData":{"URL":"https://www.who.int/news/item/27-02-2017-who-publishes-list-of-bacteria-for-which-new-antibiotics-are-urgently-needed","author":[{"dropping-particle":"","family":"Organization","given":"World Health","non-dropping-particle":"","parse-names":false,"suffix":""}],"id":"ITEM-1","issued":{"date-parts":[["2017"]]},"title":"WHO Priority Pathogens List for R&amp;D of New Antibiotics.","type":"webpage"},"uris":["http://www.mendeley.com/documents/?uuid=45c92d5f-c2e8-42f7-842a-e85a72bd8796"]}],"mendeley":{"formattedCitation":"[2]","plainTextFormattedCitation":"[2]","previouslyFormattedCitation":"[2]"},"properties":{"noteIndex":0},"schema":"https://github.com/citation-style-language/schema/raw/master/csl-citation.json"}</w:instrText>
      </w:r>
      <w:r w:rsidR="00B67F11">
        <w:rPr>
          <w:lang w:val="en-US"/>
        </w:rPr>
        <w:fldChar w:fldCharType="separate"/>
      </w:r>
      <w:r w:rsidR="00B67F11" w:rsidRPr="00B67F11">
        <w:rPr>
          <w:noProof/>
          <w:lang w:val="en-US"/>
        </w:rPr>
        <w:t>[2]</w:t>
      </w:r>
      <w:r w:rsidR="00B67F11">
        <w:rPr>
          <w:lang w:val="en-US"/>
        </w:rPr>
        <w:fldChar w:fldCharType="end"/>
      </w:r>
      <w:r w:rsidR="002B4DC3">
        <w:rPr>
          <w:lang w:val="en-US"/>
        </w:rPr>
        <w:t>.</w:t>
      </w:r>
    </w:p>
    <w:p w14:paraId="16C2C9D1" w14:textId="2A4DEAF2" w:rsidR="00677FBA" w:rsidRDefault="00A01A30" w:rsidP="00BD3528">
      <w:pPr>
        <w:jc w:val="both"/>
        <w:rPr>
          <w:lang w:val="en-US"/>
        </w:rPr>
      </w:pPr>
      <w:r>
        <w:rPr>
          <w:lang w:val="en-US"/>
        </w:rPr>
        <w:t>Carbapenem-resistant Enterobacteriaceae (CRE)</w:t>
      </w:r>
      <w:r w:rsidR="004D0751">
        <w:rPr>
          <w:lang w:val="en-US"/>
        </w:rPr>
        <w:t xml:space="preserve">, which </w:t>
      </w:r>
      <w:r w:rsidR="004D0751" w:rsidRPr="004D0751">
        <w:rPr>
          <w:lang w:val="en-US"/>
        </w:rPr>
        <w:t xml:space="preserve">pose an exponentially increasing threat for public health </w:t>
      </w:r>
      <w:r w:rsidR="00A05C50">
        <w:rPr>
          <w:lang w:val="en-US"/>
        </w:rPr>
        <w:t>globally,</w:t>
      </w:r>
      <w:r>
        <w:rPr>
          <w:lang w:val="en-US"/>
        </w:rPr>
        <w:t xml:space="preserve"> </w:t>
      </w:r>
      <w:r w:rsidR="00A05C50">
        <w:rPr>
          <w:lang w:val="en-US"/>
        </w:rPr>
        <w:t>emerged</w:t>
      </w:r>
      <w:r w:rsidR="0049523B">
        <w:rPr>
          <w:lang w:val="en-US"/>
        </w:rPr>
        <w:t xml:space="preserve"> from the widespread use of ca</w:t>
      </w:r>
      <w:r w:rsidR="00006A49">
        <w:rPr>
          <w:lang w:val="en-US"/>
        </w:rPr>
        <w:t>rbapenem</w:t>
      </w:r>
      <w:r w:rsidR="00DA3701">
        <w:rPr>
          <w:lang w:val="en-US"/>
        </w:rPr>
        <w:t xml:space="preserve"> </w:t>
      </w:r>
      <w:r w:rsidR="0049523B">
        <w:rPr>
          <w:lang w:val="en-US"/>
        </w:rPr>
        <w:t>as</w:t>
      </w:r>
      <w:r w:rsidR="00DA3701" w:rsidRPr="00DA3701">
        <w:rPr>
          <w:lang w:val="en-US"/>
        </w:rPr>
        <w:t xml:space="preserve"> first-line empirical treatment </w:t>
      </w:r>
      <w:r w:rsidR="00DA3701">
        <w:rPr>
          <w:lang w:val="en-US"/>
        </w:rPr>
        <w:t xml:space="preserve">for ESBL-producing </w:t>
      </w:r>
      <w:r w:rsidR="00006A49">
        <w:rPr>
          <w:lang w:val="en-US"/>
        </w:rPr>
        <w:t>Enterobacteriaceae</w:t>
      </w:r>
      <w:r w:rsidR="00DA3701">
        <w:rPr>
          <w:lang w:val="en-US"/>
        </w:rPr>
        <w:t xml:space="preserve"> </w:t>
      </w:r>
      <w:r w:rsidR="00BB5FB0">
        <w:rPr>
          <w:lang w:val="en-US"/>
        </w:rPr>
        <w:fldChar w:fldCharType="begin" w:fldLock="1"/>
      </w:r>
      <w:r w:rsidR="00956AAD">
        <w:rPr>
          <w:lang w:val="en-US"/>
        </w:rPr>
        <w:instrText>ADDIN CSL_CITATION {"citationItems":[{"id":"ITEM-1","itemData":{"DOI":"10.1080/14787210.2018.1436966","ISSN":"17448336","PMID":"29402125","abstract":"Introduction: The spread of extended-spectrum β–lactamase (ESBL)-producing Enterobacteriaceae has become a major public health threat worldwide. Area covered: A thorough systematic literature review describing the current evidence and future prospects of therapeutic options for infections caused by ESBL-producing Enterobacteriaceae. Expert commentary: The methods of detecting ESBLs have been evolving. The Clinical and Laboratory Standards Institute and the European Committee on Antimicrobial Susceptibility Testing lowered the MIC breakpoints of cephalosporins against ESBL-producing Enterobacteriaceae in 2010. Phenotypic testing for ESBLs is no longer recommended. Instead, the selection of appropriate antimicrobial agents largely depends on the report of minimum inhibitory concentrations (MICs). To date, therapeutic options for these multidrug-resistant organisms remain limited. The clinical efficacy of piperacillin/tazobactam and cefepime on in vitro-susceptible ESBL-producing Enterobacteriaceae remains a concern. Many studies found an in vitro-in vivo discordance based on current breakpoints. Carbapenems are the most reliable antibiotics for severe infections caused by ESBL-producing Enterobacteriaceae. However, their overuse has led to a serious problem of increasing drug resistance. Recently, ceftolozane/tazobactam and ceftazidime/avibactam have been approved for the treatment of complicated urinary tract infections and complicated intra-abdominal infections. The introduction of these new β-lactam/β-lactamase inhibitor combinations offers new carbapenem-sparing options for the treatment of ESBL infections.","author":[{"dropping-particle":"","family":"Sheu","given":"Chau Chyun","non-dropping-particle":"","parse-names":false,"suffix":""},{"dropping-particle":"","family":"Lin","given":"Shang Yi","non-dropping-particle":"","parse-names":false,"suffix":""},{"dropping-particle":"","family":"Chang","given":"Ya Ting","non-dropping-particle":"","parse-names":false,"suffix":""},{"dropping-particle":"","family":"Lee","given":"Chun Yuan","non-dropping-particle":"","parse-names":false,"suffix":""},{"dropping-particle":"","family":"Chen","given":"Yen Hsu","non-dropping-particle":"","parse-names":false,"suffix":""},{"dropping-particle":"","family":"Hsueh","given":"Po Ren","non-dropping-particle":"","parse-names":false,"suffix":""}],"container-title":"Expert Review of Anti-Infective Therapy","id":"ITEM-1","issue":"3","issued":{"date-parts":[["2018"]]},"page":"205-218","publisher":"Taylor &amp; Francis","title":"Management of infections caused by extended-spectrum β–lactamase-producing Enterobacteriaceae: current evidence and future prospects","type":"article-journal","volume":"16"},"uris":["http://www.mendeley.com/documents/?uuid=e88da63a-172c-462e-826e-4bba2e168b99"]}],"mendeley":{"formattedCitation":"[3]","plainTextFormattedCitation":"[3]","previouslyFormattedCitation":"[3]"},"properties":{"noteIndex":0},"schema":"https://github.com/citation-style-language/schema/raw/master/csl-citation.json"}</w:instrText>
      </w:r>
      <w:r w:rsidR="00BB5FB0">
        <w:rPr>
          <w:lang w:val="en-US"/>
        </w:rPr>
        <w:fldChar w:fldCharType="separate"/>
      </w:r>
      <w:r w:rsidR="00BB5FB0" w:rsidRPr="00BB5FB0">
        <w:rPr>
          <w:noProof/>
          <w:lang w:val="en-US"/>
        </w:rPr>
        <w:t>[3]</w:t>
      </w:r>
      <w:r w:rsidR="00BB5FB0">
        <w:rPr>
          <w:lang w:val="en-US"/>
        </w:rPr>
        <w:fldChar w:fldCharType="end"/>
      </w:r>
      <w:r w:rsidR="00E773BC">
        <w:rPr>
          <w:lang w:val="en-US"/>
        </w:rPr>
        <w:t xml:space="preserve">. </w:t>
      </w:r>
      <w:r w:rsidR="00257195">
        <w:rPr>
          <w:lang w:val="en-US"/>
        </w:rPr>
        <w:t xml:space="preserve">CREs </w:t>
      </w:r>
      <w:r w:rsidR="009D4316">
        <w:rPr>
          <w:lang w:val="en-US"/>
        </w:rPr>
        <w:t xml:space="preserve">possess diverse mechanisms </w:t>
      </w:r>
      <w:r w:rsidR="003D29FB">
        <w:rPr>
          <w:lang w:val="en-US"/>
        </w:rPr>
        <w:t xml:space="preserve">of </w:t>
      </w:r>
      <w:r w:rsidR="00CB1E8C">
        <w:rPr>
          <w:lang w:val="en-US"/>
        </w:rPr>
        <w:t xml:space="preserve">drug resistance, </w:t>
      </w:r>
      <w:r w:rsidR="004B141E">
        <w:rPr>
          <w:lang w:val="en-US"/>
        </w:rPr>
        <w:t xml:space="preserve">limiting </w:t>
      </w:r>
      <w:r w:rsidR="00CB1E8C">
        <w:rPr>
          <w:lang w:val="en-US"/>
        </w:rPr>
        <w:t xml:space="preserve">early </w:t>
      </w:r>
      <w:r w:rsidR="002700F8">
        <w:rPr>
          <w:lang w:val="en-US"/>
        </w:rPr>
        <w:t xml:space="preserve">detection and </w:t>
      </w:r>
      <w:r w:rsidR="004B141E">
        <w:rPr>
          <w:lang w:val="en-US"/>
        </w:rPr>
        <w:t>infection control</w:t>
      </w:r>
      <w:r w:rsidR="002700F8">
        <w:rPr>
          <w:lang w:val="en-US"/>
        </w:rPr>
        <w:t>.</w:t>
      </w:r>
      <w:r w:rsidR="008E0339">
        <w:rPr>
          <w:lang w:val="en-US"/>
        </w:rPr>
        <w:t xml:space="preserve"> CREs are </w:t>
      </w:r>
      <w:r w:rsidR="00900202">
        <w:rPr>
          <w:lang w:val="en-US"/>
        </w:rPr>
        <w:t xml:space="preserve">categorized into two subgroups: </w:t>
      </w:r>
      <w:r w:rsidR="00683FEB">
        <w:rPr>
          <w:lang w:val="en-US"/>
        </w:rPr>
        <w:t xml:space="preserve">A) </w:t>
      </w:r>
      <w:r w:rsidR="00900202">
        <w:rPr>
          <w:lang w:val="en-US"/>
        </w:rPr>
        <w:t>ca</w:t>
      </w:r>
      <w:r w:rsidR="00C330DD">
        <w:rPr>
          <w:lang w:val="en-US"/>
        </w:rPr>
        <w:t>r</w:t>
      </w:r>
      <w:r w:rsidR="00900202">
        <w:rPr>
          <w:lang w:val="en-US"/>
        </w:rPr>
        <w:t xml:space="preserve">bapenemase-producing CRE (CP-CRE) and </w:t>
      </w:r>
      <w:r w:rsidR="00683FEB">
        <w:rPr>
          <w:lang w:val="en-US"/>
        </w:rPr>
        <w:t xml:space="preserve">B) </w:t>
      </w:r>
      <w:r w:rsidR="00900202">
        <w:rPr>
          <w:lang w:val="en-US"/>
        </w:rPr>
        <w:t>non-carbapen</w:t>
      </w:r>
      <w:r w:rsidR="00C330DD">
        <w:rPr>
          <w:lang w:val="en-US"/>
        </w:rPr>
        <w:t>emase-producing CRE (non-CP-CRE)</w:t>
      </w:r>
      <w:r w:rsidR="00956AAD">
        <w:rPr>
          <w:lang w:val="en-US"/>
        </w:rPr>
        <w:t xml:space="preserve">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ED5D59">
        <w:rPr>
          <w:lang w:val="en-US"/>
        </w:rPr>
        <w:t xml:space="preserve">. </w:t>
      </w:r>
    </w:p>
    <w:p w14:paraId="64F06E31" w14:textId="1665213F" w:rsidR="004B141E" w:rsidRDefault="006F1D87" w:rsidP="00BC2F32">
      <w:pPr>
        <w:jc w:val="both"/>
        <w:rPr>
          <w:lang w:val="en-US"/>
        </w:rPr>
      </w:pPr>
      <w:r>
        <w:rPr>
          <w:lang w:val="en-US"/>
        </w:rPr>
        <w:t>CP-CRE</w:t>
      </w:r>
      <w:r w:rsidR="008679BD">
        <w:rPr>
          <w:lang w:val="en-US"/>
        </w:rPr>
        <w:t>s</w:t>
      </w:r>
      <w:r>
        <w:rPr>
          <w:lang w:val="en-US"/>
        </w:rPr>
        <w:t xml:space="preserve"> produce a variety of carbapenemases </w:t>
      </w:r>
      <w:r w:rsidR="00464F21">
        <w:rPr>
          <w:lang w:val="en-US"/>
        </w:rPr>
        <w:t xml:space="preserve">categorized into three Ambler </w:t>
      </w:r>
      <w:r w:rsidR="00442A85">
        <w:rPr>
          <w:lang w:val="en-US"/>
        </w:rPr>
        <w:t>classes. Class A</w:t>
      </w:r>
      <w:r w:rsidR="003F298C">
        <w:rPr>
          <w:lang w:val="en-US"/>
        </w:rPr>
        <w:t xml:space="preserve"> carbapenemases </w:t>
      </w:r>
      <w:r w:rsidR="000D2070">
        <w:rPr>
          <w:lang w:val="en-US"/>
        </w:rPr>
        <w:t>include</w:t>
      </w:r>
      <w:r w:rsidR="00FB2F1C">
        <w:rPr>
          <w:lang w:val="en-US"/>
        </w:rPr>
        <w:t xml:space="preserve"> </w:t>
      </w:r>
      <w:r w:rsidR="001E7D86">
        <w:rPr>
          <w:lang w:val="en-US"/>
        </w:rPr>
        <w:t>the</w:t>
      </w:r>
      <w:r w:rsidR="00FB2F1C">
        <w:rPr>
          <w:lang w:val="en-US"/>
        </w:rPr>
        <w:t xml:space="preserve"> plasmid encoded enzyme </w:t>
      </w:r>
      <w:r w:rsidR="00014FB8" w:rsidRPr="00014FB8">
        <w:rPr>
          <w:i/>
          <w:iCs/>
          <w:lang w:val="en-US"/>
        </w:rPr>
        <w:t>Klebsiella pneumoniae</w:t>
      </w:r>
      <w:r w:rsidR="00014FB8">
        <w:rPr>
          <w:lang w:val="en-US"/>
        </w:rPr>
        <w:t xml:space="preserve"> carbapenemase (KPC) which actively hydro</w:t>
      </w:r>
      <w:r w:rsidR="004448EB">
        <w:rPr>
          <w:lang w:val="en-US"/>
        </w:rPr>
        <w:t>l</w:t>
      </w:r>
      <w:r w:rsidR="00014FB8">
        <w:rPr>
          <w:lang w:val="en-US"/>
        </w:rPr>
        <w:t xml:space="preserve">yzes carbapenems, partially inhibited by clavulanic acid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956AAD">
        <w:rPr>
          <w:lang w:val="en-US"/>
        </w:rPr>
        <w:t xml:space="preserve">. </w:t>
      </w:r>
      <w:r w:rsidR="00FA3555">
        <w:rPr>
          <w:lang w:val="en-US"/>
        </w:rPr>
        <w:t xml:space="preserve">Enterobacteriaceae producing KPCs </w:t>
      </w:r>
      <w:r w:rsidR="00B06091">
        <w:rPr>
          <w:lang w:val="en-US"/>
        </w:rPr>
        <w:t>have a</w:t>
      </w:r>
      <w:r w:rsidR="0033320A">
        <w:rPr>
          <w:lang w:val="en-US"/>
        </w:rPr>
        <w:t xml:space="preserve">cquired multidrug resistance to </w:t>
      </w:r>
      <w:r w:rsidR="0033320A">
        <w:rPr>
          <w:rFonts w:cstheme="minorHAnsi"/>
          <w:lang w:val="en-US"/>
        </w:rPr>
        <w:t>β</w:t>
      </w:r>
      <w:r w:rsidR="0033320A">
        <w:rPr>
          <w:lang w:val="en-US"/>
        </w:rPr>
        <w:t xml:space="preserve">-lactams and is considered most prevalent </w:t>
      </w:r>
      <w:r w:rsidR="00286B1F">
        <w:rPr>
          <w:lang w:val="en-US"/>
        </w:rPr>
        <w:t xml:space="preserve">globally. </w:t>
      </w:r>
      <w:r w:rsidR="0023687B">
        <w:rPr>
          <w:lang w:val="en-US"/>
        </w:rPr>
        <w:t xml:space="preserve">Clinical isolates of KPC-producing </w:t>
      </w:r>
      <w:r w:rsidR="002346D8" w:rsidRPr="002346D8">
        <w:rPr>
          <w:i/>
          <w:iCs/>
          <w:lang w:val="en-US"/>
        </w:rPr>
        <w:t>Klebsiella oxytoca</w:t>
      </w:r>
      <w:r w:rsidR="002346D8">
        <w:rPr>
          <w:lang w:val="en-US"/>
        </w:rPr>
        <w:t xml:space="preserve">, </w:t>
      </w:r>
      <w:r w:rsidR="0023687B" w:rsidRPr="002346D8">
        <w:rPr>
          <w:i/>
          <w:iCs/>
          <w:lang w:val="en-US"/>
        </w:rPr>
        <w:t>Escherichia coli</w:t>
      </w:r>
      <w:r w:rsidR="0023687B">
        <w:rPr>
          <w:lang w:val="en-US"/>
        </w:rPr>
        <w:t xml:space="preserve">, </w:t>
      </w:r>
      <w:r w:rsidR="0023687B" w:rsidRPr="002346D8">
        <w:rPr>
          <w:i/>
          <w:iCs/>
          <w:lang w:val="en-US"/>
        </w:rPr>
        <w:t>Enterobacter aerogenes</w:t>
      </w:r>
      <w:r w:rsidR="0023687B">
        <w:rPr>
          <w:lang w:val="en-US"/>
        </w:rPr>
        <w:t xml:space="preserve">, </w:t>
      </w:r>
      <w:r w:rsidR="0023687B" w:rsidRPr="002346D8">
        <w:rPr>
          <w:i/>
          <w:iCs/>
          <w:lang w:val="en-US"/>
        </w:rPr>
        <w:t>Enterobacter cloacae</w:t>
      </w:r>
      <w:r w:rsidR="0023687B">
        <w:rPr>
          <w:lang w:val="en-US"/>
        </w:rPr>
        <w:t xml:space="preserve">, </w:t>
      </w:r>
      <w:r w:rsidR="0023687B" w:rsidRPr="002346D8">
        <w:rPr>
          <w:i/>
          <w:iCs/>
          <w:lang w:val="en-US"/>
        </w:rPr>
        <w:t>Citrobacter freundii</w:t>
      </w:r>
      <w:r w:rsidR="0023687B">
        <w:rPr>
          <w:lang w:val="en-US"/>
        </w:rPr>
        <w:t xml:space="preserve">, </w:t>
      </w:r>
      <w:r w:rsidR="0023687B" w:rsidRPr="002346D8">
        <w:rPr>
          <w:i/>
          <w:iCs/>
          <w:lang w:val="en-US"/>
        </w:rPr>
        <w:t xml:space="preserve">Proteus </w:t>
      </w:r>
      <w:proofErr w:type="spellStart"/>
      <w:r w:rsidR="0023687B" w:rsidRPr="002346D8">
        <w:rPr>
          <w:i/>
          <w:iCs/>
          <w:lang w:val="en-US"/>
        </w:rPr>
        <w:t>mirabillis</w:t>
      </w:r>
      <w:proofErr w:type="spellEnd"/>
      <w:r w:rsidR="0023687B">
        <w:rPr>
          <w:lang w:val="en-US"/>
        </w:rPr>
        <w:t xml:space="preserve">, </w:t>
      </w:r>
      <w:r w:rsidR="0023687B" w:rsidRPr="002346D8">
        <w:rPr>
          <w:i/>
          <w:iCs/>
          <w:lang w:val="en-US"/>
        </w:rPr>
        <w:t>Salmonella enterica</w:t>
      </w:r>
      <w:r w:rsidR="0023687B">
        <w:rPr>
          <w:lang w:val="en-US"/>
        </w:rPr>
        <w:t xml:space="preserve"> and </w:t>
      </w:r>
      <w:r w:rsidR="0023687B" w:rsidRPr="002346D8">
        <w:rPr>
          <w:i/>
          <w:iCs/>
          <w:lang w:val="en-US"/>
        </w:rPr>
        <w:t>Serratia marcescens</w:t>
      </w:r>
      <w:r w:rsidR="0023687B">
        <w:rPr>
          <w:lang w:val="en-US"/>
        </w:rPr>
        <w:t xml:space="preserve"> have been identified</w:t>
      </w:r>
      <w:r w:rsidR="002346D8">
        <w:rPr>
          <w:lang w:val="en-US"/>
        </w:rPr>
        <w:t xml:space="preserve">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956AAD">
        <w:rPr>
          <w:lang w:val="en-US"/>
        </w:rPr>
        <w:t xml:space="preserve">. </w:t>
      </w:r>
      <w:r w:rsidR="000D2070">
        <w:rPr>
          <w:lang w:val="en-US"/>
        </w:rPr>
        <w:t xml:space="preserve">Class B carbapenemases </w:t>
      </w:r>
      <w:r w:rsidR="00A638BC">
        <w:rPr>
          <w:lang w:val="en-US"/>
        </w:rPr>
        <w:t xml:space="preserve">include </w:t>
      </w:r>
      <w:proofErr w:type="spellStart"/>
      <w:r w:rsidR="0043551B">
        <w:rPr>
          <w:lang w:val="en-US"/>
        </w:rPr>
        <w:t>metallo</w:t>
      </w:r>
      <w:proofErr w:type="spellEnd"/>
      <w:r w:rsidR="0043551B">
        <w:rPr>
          <w:lang w:val="en-US"/>
        </w:rPr>
        <w:t>-</w:t>
      </w:r>
      <w:r w:rsidR="0043551B">
        <w:rPr>
          <w:rFonts w:cstheme="minorHAnsi"/>
          <w:lang w:val="en-US"/>
        </w:rPr>
        <w:t>β</w:t>
      </w:r>
      <w:r w:rsidR="0043551B">
        <w:rPr>
          <w:lang w:val="en-US"/>
        </w:rPr>
        <w:t>-lactamase</w:t>
      </w:r>
      <w:r w:rsidR="00A638BC">
        <w:rPr>
          <w:lang w:val="en-US"/>
        </w:rPr>
        <w:t>s</w:t>
      </w:r>
      <w:r w:rsidR="0043551B">
        <w:rPr>
          <w:lang w:val="en-US"/>
        </w:rPr>
        <w:t xml:space="preserve"> (MBL</w:t>
      </w:r>
      <w:r w:rsidR="00A638BC">
        <w:rPr>
          <w:lang w:val="en-US"/>
        </w:rPr>
        <w:t>s</w:t>
      </w:r>
      <w:r w:rsidR="0043551B">
        <w:rPr>
          <w:lang w:val="en-US"/>
        </w:rPr>
        <w:t>)</w:t>
      </w:r>
      <w:r w:rsidR="008E3BC3">
        <w:rPr>
          <w:lang w:val="en-US"/>
        </w:rPr>
        <w:t xml:space="preserve"> – enzymes which depend on the interaction with zinc ions in the active site of the enzyme</w:t>
      </w:r>
      <w:r w:rsidR="00741740">
        <w:rPr>
          <w:lang w:val="en-US"/>
        </w:rPr>
        <w:t xml:space="preserve">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956AAD">
        <w:rPr>
          <w:lang w:val="en-US"/>
        </w:rPr>
        <w:t xml:space="preserve">. </w:t>
      </w:r>
      <w:r w:rsidR="00741740">
        <w:rPr>
          <w:lang w:val="en-US"/>
        </w:rPr>
        <w:t xml:space="preserve">These enzymes have high potential for horizontal </w:t>
      </w:r>
      <w:r w:rsidR="001C209A">
        <w:rPr>
          <w:lang w:val="en-US"/>
        </w:rPr>
        <w:t>transfer and</w:t>
      </w:r>
      <w:r w:rsidR="00F77883">
        <w:rPr>
          <w:lang w:val="en-US"/>
        </w:rPr>
        <w:t xml:space="preserve"> have </w:t>
      </w:r>
      <w:r w:rsidR="00DF4B25">
        <w:rPr>
          <w:lang w:val="en-US"/>
        </w:rPr>
        <w:t xml:space="preserve">broad hydrolytic properties that affect most </w:t>
      </w:r>
      <w:r w:rsidR="00DF4B25">
        <w:rPr>
          <w:rFonts w:cstheme="minorHAnsi"/>
          <w:lang w:val="en-US"/>
        </w:rPr>
        <w:t>β</w:t>
      </w:r>
      <w:r w:rsidR="00DF4B25">
        <w:rPr>
          <w:lang w:val="en-US"/>
        </w:rPr>
        <w:t>-lactam antibiotics</w:t>
      </w:r>
      <w:r w:rsidR="00EA5A50">
        <w:rPr>
          <w:lang w:val="en-US"/>
        </w:rPr>
        <w:t xml:space="preserve">. </w:t>
      </w:r>
      <w:r w:rsidR="00CF61A7">
        <w:rPr>
          <w:lang w:val="en-US"/>
        </w:rPr>
        <w:t xml:space="preserve">MBL </w:t>
      </w:r>
      <w:r w:rsidR="001C209A">
        <w:rPr>
          <w:lang w:val="en-US"/>
        </w:rPr>
        <w:t xml:space="preserve">families include New Delhi </w:t>
      </w:r>
      <w:proofErr w:type="spellStart"/>
      <w:r w:rsidR="001C209A">
        <w:rPr>
          <w:lang w:val="en-US"/>
        </w:rPr>
        <w:t>metallo</w:t>
      </w:r>
      <w:proofErr w:type="spellEnd"/>
      <w:r w:rsidR="001C209A">
        <w:rPr>
          <w:lang w:val="en-US"/>
        </w:rPr>
        <w:t>-</w:t>
      </w:r>
      <w:r w:rsidR="001C209A">
        <w:rPr>
          <w:rFonts w:cstheme="minorHAnsi"/>
          <w:lang w:val="en-US"/>
        </w:rPr>
        <w:t>β</w:t>
      </w:r>
      <w:r w:rsidR="001C209A">
        <w:rPr>
          <w:lang w:val="en-US"/>
        </w:rPr>
        <w:t xml:space="preserve">-lactamase 1 (NDM-1), Imipenem-resistant Pseudomonas </w:t>
      </w:r>
      <w:r w:rsidR="00F66BC3">
        <w:rPr>
          <w:lang w:val="en-US"/>
        </w:rPr>
        <w:t>(IMP)</w:t>
      </w:r>
      <w:r w:rsidR="00144E61">
        <w:rPr>
          <w:lang w:val="en-US"/>
        </w:rPr>
        <w:t>-type carbapenemase</w:t>
      </w:r>
      <w:r w:rsidR="00F66BC3">
        <w:rPr>
          <w:lang w:val="en-US"/>
        </w:rPr>
        <w:t xml:space="preserve"> and Verona </w:t>
      </w:r>
      <w:proofErr w:type="spellStart"/>
      <w:r w:rsidR="00F66BC3">
        <w:rPr>
          <w:lang w:val="en-US"/>
        </w:rPr>
        <w:t>integron</w:t>
      </w:r>
      <w:proofErr w:type="spellEnd"/>
      <w:r w:rsidR="00F66BC3">
        <w:rPr>
          <w:lang w:val="en-US"/>
        </w:rPr>
        <w:t xml:space="preserve">-encoded </w:t>
      </w:r>
      <w:proofErr w:type="spellStart"/>
      <w:r w:rsidR="00F66BC3">
        <w:rPr>
          <w:lang w:val="en-US"/>
        </w:rPr>
        <w:t>metallo</w:t>
      </w:r>
      <w:proofErr w:type="spellEnd"/>
      <w:r w:rsidR="00521B98">
        <w:rPr>
          <w:lang w:val="en-US"/>
        </w:rPr>
        <w:t>-</w:t>
      </w:r>
      <w:r w:rsidR="00521B98">
        <w:rPr>
          <w:rFonts w:cstheme="minorHAnsi"/>
          <w:lang w:val="en-US"/>
        </w:rPr>
        <w:t>β</w:t>
      </w:r>
      <w:r w:rsidR="00521B98">
        <w:rPr>
          <w:lang w:val="en-US"/>
        </w:rPr>
        <w:t>-lactamases (VIM)</w:t>
      </w:r>
      <w:r w:rsidR="0016518C">
        <w:rPr>
          <w:lang w:val="en-US"/>
        </w:rPr>
        <w:t xml:space="preserve">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956AAD">
        <w:rPr>
          <w:lang w:val="en-US"/>
        </w:rPr>
        <w:t xml:space="preserve">. </w:t>
      </w:r>
      <w:r w:rsidR="00BC2F32">
        <w:rPr>
          <w:lang w:val="en-US"/>
        </w:rPr>
        <w:t xml:space="preserve">Class D </w:t>
      </w:r>
      <w:r w:rsidR="000B0DC3">
        <w:rPr>
          <w:lang w:val="en-US"/>
        </w:rPr>
        <w:t xml:space="preserve">carbapenemases </w:t>
      </w:r>
      <w:r w:rsidR="00806F63">
        <w:rPr>
          <w:lang w:val="en-US"/>
        </w:rPr>
        <w:t>are</w:t>
      </w:r>
      <w:r w:rsidR="000B0DC3">
        <w:rPr>
          <w:lang w:val="en-US"/>
        </w:rPr>
        <w:t xml:space="preserve"> O</w:t>
      </w:r>
      <w:r w:rsidR="00806F63">
        <w:rPr>
          <w:lang w:val="en-US"/>
        </w:rPr>
        <w:t xml:space="preserve">XA-48-like </w:t>
      </w:r>
      <w:r w:rsidR="00B315E0">
        <w:rPr>
          <w:lang w:val="en-US"/>
        </w:rPr>
        <w:t xml:space="preserve">(most widespread) </w:t>
      </w:r>
      <w:r w:rsidR="008A10B0">
        <w:rPr>
          <w:lang w:val="en-US"/>
        </w:rPr>
        <w:t>including five other</w:t>
      </w:r>
      <w:r w:rsidR="00C8294C">
        <w:rPr>
          <w:lang w:val="en-US"/>
        </w:rPr>
        <w:t xml:space="preserve"> variants (OXA-162, OXA-163, OXA-181, OXA-204</w:t>
      </w:r>
      <w:r w:rsidR="008A10B0">
        <w:rPr>
          <w:lang w:val="en-US"/>
        </w:rPr>
        <w:t>, OXA-232).</w:t>
      </w:r>
      <w:r w:rsidR="003F2C08">
        <w:rPr>
          <w:lang w:val="en-US"/>
        </w:rPr>
        <w:t xml:space="preserve"> </w:t>
      </w:r>
      <w:r w:rsidR="00A932F9">
        <w:rPr>
          <w:lang w:val="en-US"/>
        </w:rPr>
        <w:t>These plasmid-mediated enzymes are</w:t>
      </w:r>
      <w:r w:rsidR="00AA195F">
        <w:rPr>
          <w:lang w:val="en-US"/>
        </w:rPr>
        <w:t xml:space="preserve"> primarily found in </w:t>
      </w:r>
      <w:r w:rsidR="00AA195F" w:rsidRPr="003F2C08">
        <w:rPr>
          <w:i/>
          <w:iCs/>
          <w:lang w:val="en-US"/>
        </w:rPr>
        <w:t>K. pneumoniae</w:t>
      </w:r>
      <w:r w:rsidR="00AA195F">
        <w:rPr>
          <w:lang w:val="en-US"/>
        </w:rPr>
        <w:t xml:space="preserve">, </w:t>
      </w:r>
      <w:r w:rsidR="00AA195F" w:rsidRPr="003F2C08">
        <w:rPr>
          <w:i/>
          <w:iCs/>
          <w:lang w:val="en-US"/>
        </w:rPr>
        <w:t>E.</w:t>
      </w:r>
      <w:r w:rsidR="003F2C08">
        <w:rPr>
          <w:i/>
          <w:iCs/>
          <w:lang w:val="en-US"/>
        </w:rPr>
        <w:t xml:space="preserve"> </w:t>
      </w:r>
      <w:r w:rsidR="00AA195F" w:rsidRPr="003F2C08">
        <w:rPr>
          <w:i/>
          <w:iCs/>
          <w:lang w:val="en-US"/>
        </w:rPr>
        <w:t>coli</w:t>
      </w:r>
      <w:r w:rsidR="00AA195F">
        <w:rPr>
          <w:lang w:val="en-US"/>
        </w:rPr>
        <w:t xml:space="preserve">, </w:t>
      </w:r>
      <w:r w:rsidR="00AA195F" w:rsidRPr="003F2C08">
        <w:rPr>
          <w:i/>
          <w:iCs/>
          <w:lang w:val="en-US"/>
        </w:rPr>
        <w:t>E.</w:t>
      </w:r>
      <w:r w:rsidR="003F2C08">
        <w:rPr>
          <w:i/>
          <w:iCs/>
          <w:lang w:val="en-US"/>
        </w:rPr>
        <w:t xml:space="preserve"> </w:t>
      </w:r>
      <w:r w:rsidR="00AA195F" w:rsidRPr="003F2C08">
        <w:rPr>
          <w:i/>
          <w:iCs/>
          <w:lang w:val="en-US"/>
        </w:rPr>
        <w:t>cloacae</w:t>
      </w:r>
      <w:r w:rsidR="003F2C08">
        <w:rPr>
          <w:lang w:val="en-US"/>
        </w:rPr>
        <w:t xml:space="preserve"> and </w:t>
      </w:r>
      <w:r w:rsidR="003F2C08" w:rsidRPr="003F2C08">
        <w:rPr>
          <w:i/>
          <w:iCs/>
          <w:lang w:val="en-US"/>
        </w:rPr>
        <w:t>C. freundii</w:t>
      </w:r>
      <w:r w:rsidR="003F2C08">
        <w:rPr>
          <w:lang w:val="en-US"/>
        </w:rPr>
        <w:t>, and are</w:t>
      </w:r>
      <w:r w:rsidR="00A932F9">
        <w:rPr>
          <w:lang w:val="en-US"/>
        </w:rPr>
        <w:t xml:space="preserve"> highly active against </w:t>
      </w:r>
      <w:proofErr w:type="spellStart"/>
      <w:r w:rsidR="00A932F9">
        <w:rPr>
          <w:lang w:val="en-US"/>
        </w:rPr>
        <w:t>penicillins</w:t>
      </w:r>
      <w:proofErr w:type="spellEnd"/>
      <w:r w:rsidR="00A932F9">
        <w:rPr>
          <w:lang w:val="en-US"/>
        </w:rPr>
        <w:t xml:space="preserve">, </w:t>
      </w:r>
      <w:r w:rsidR="005C0F4E">
        <w:rPr>
          <w:lang w:val="en-US"/>
        </w:rPr>
        <w:t>have intermediate activity against broad-spectrum cephalosporins and have low activity against carbapenems</w:t>
      </w:r>
      <w:r w:rsidR="003F2C08">
        <w:rPr>
          <w:lang w:val="en-US"/>
        </w:rPr>
        <w:t xml:space="preserve">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956AAD">
        <w:rPr>
          <w:lang w:val="en-US"/>
        </w:rPr>
        <w:t>.</w:t>
      </w:r>
    </w:p>
    <w:p w14:paraId="7E096874" w14:textId="2B3DD099" w:rsidR="00783C19" w:rsidRDefault="00AC1C92" w:rsidP="00AD0F3B">
      <w:pPr>
        <w:jc w:val="both"/>
        <w:rPr>
          <w:lang w:val="en-US"/>
        </w:rPr>
      </w:pPr>
      <w:r>
        <w:rPr>
          <w:lang w:val="en-US"/>
        </w:rPr>
        <w:t xml:space="preserve">Other mechanisms of carbapenem resistance, besides carbapenemase production, </w:t>
      </w:r>
      <w:r w:rsidR="000C3314">
        <w:rPr>
          <w:lang w:val="en-US"/>
        </w:rPr>
        <w:t xml:space="preserve">include the production of other </w:t>
      </w:r>
      <w:r w:rsidR="000C3314">
        <w:rPr>
          <w:rFonts w:cstheme="minorHAnsi"/>
          <w:lang w:val="en-US"/>
        </w:rPr>
        <w:t>β</w:t>
      </w:r>
      <w:r w:rsidR="000C3314">
        <w:rPr>
          <w:lang w:val="en-US"/>
        </w:rPr>
        <w:t>-lactamases</w:t>
      </w:r>
      <w:r w:rsidR="00F030C9">
        <w:rPr>
          <w:lang w:val="en-US"/>
        </w:rPr>
        <w:t xml:space="preserve"> </w:t>
      </w:r>
      <w:r w:rsidR="00AB2A59">
        <w:rPr>
          <w:lang w:val="en-US"/>
        </w:rPr>
        <w:t>[</w:t>
      </w:r>
      <w:r w:rsidR="00F030C9">
        <w:rPr>
          <w:lang w:val="en-US"/>
        </w:rPr>
        <w:t xml:space="preserve">for example, </w:t>
      </w:r>
      <w:r w:rsidR="00AB2A59">
        <w:rPr>
          <w:lang w:val="en-US"/>
        </w:rPr>
        <w:t xml:space="preserve">Type C </w:t>
      </w:r>
      <w:proofErr w:type="spellStart"/>
      <w:r w:rsidR="00AB2A59">
        <w:rPr>
          <w:lang w:val="en-US"/>
        </w:rPr>
        <w:t>ampicillinase</w:t>
      </w:r>
      <w:proofErr w:type="spellEnd"/>
      <w:r w:rsidR="00AB2A59">
        <w:rPr>
          <w:lang w:val="en-US"/>
        </w:rPr>
        <w:t xml:space="preserve"> (</w:t>
      </w:r>
      <w:r w:rsidR="00F030C9">
        <w:rPr>
          <w:lang w:val="en-US"/>
        </w:rPr>
        <w:t>A</w:t>
      </w:r>
      <w:r w:rsidR="00AB2A59">
        <w:rPr>
          <w:lang w:val="en-US"/>
        </w:rPr>
        <w:t>mpC-type)]</w:t>
      </w:r>
      <w:r w:rsidR="000C3314">
        <w:rPr>
          <w:lang w:val="en-US"/>
        </w:rPr>
        <w:t xml:space="preserve">, </w:t>
      </w:r>
      <w:r w:rsidR="00D20103">
        <w:rPr>
          <w:lang w:val="en-US"/>
        </w:rPr>
        <w:t>porin loss and efflux pump overexpression</w:t>
      </w:r>
      <w:r w:rsidR="00C02CE2">
        <w:rPr>
          <w:lang w:val="en-US"/>
        </w:rPr>
        <w:t xml:space="preserve"> by non-CP-CREs</w:t>
      </w:r>
      <w:r w:rsidR="00252892">
        <w:rPr>
          <w:lang w:val="en-US"/>
        </w:rPr>
        <w:t xml:space="preserve">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D20103">
        <w:rPr>
          <w:lang w:val="en-US"/>
        </w:rPr>
        <w:t xml:space="preserve">. </w:t>
      </w:r>
      <w:r w:rsidR="00351635">
        <w:rPr>
          <w:lang w:val="en-US"/>
        </w:rPr>
        <w:t>Enzymes such as A</w:t>
      </w:r>
      <w:r w:rsidR="00C02CE2">
        <w:rPr>
          <w:lang w:val="en-US"/>
        </w:rPr>
        <w:t>mp</w:t>
      </w:r>
      <w:r w:rsidR="00351635">
        <w:rPr>
          <w:lang w:val="en-US"/>
        </w:rPr>
        <w:t xml:space="preserve">C-type </w:t>
      </w:r>
      <w:r w:rsidR="00351635">
        <w:rPr>
          <w:rFonts w:cstheme="minorHAnsi"/>
          <w:lang w:val="en-US"/>
        </w:rPr>
        <w:t>β</w:t>
      </w:r>
      <w:r w:rsidR="00351635">
        <w:rPr>
          <w:lang w:val="en-US"/>
        </w:rPr>
        <w:t xml:space="preserve">-lactamases </w:t>
      </w:r>
      <w:r w:rsidR="00EF7AF2">
        <w:rPr>
          <w:lang w:val="en-US"/>
        </w:rPr>
        <w:t xml:space="preserve">do not degrade </w:t>
      </w:r>
      <w:r w:rsidR="0078500E">
        <w:rPr>
          <w:lang w:val="en-US"/>
        </w:rPr>
        <w:t>carbapenems but</w:t>
      </w:r>
      <w:r w:rsidR="00EF7AF2">
        <w:rPr>
          <w:lang w:val="en-US"/>
        </w:rPr>
        <w:t xml:space="preserve"> form</w:t>
      </w:r>
      <w:r w:rsidR="00B06755">
        <w:rPr>
          <w:lang w:val="en-US"/>
        </w:rPr>
        <w:t xml:space="preserve"> a bond with the carbapenem-molecule which prevents it from accessing its target. </w:t>
      </w:r>
      <w:r w:rsidR="0078500E">
        <w:rPr>
          <w:lang w:val="en-US"/>
        </w:rPr>
        <w:t xml:space="preserve">Alterations of porin synthesis also contribute to blocking penetration of </w:t>
      </w:r>
      <w:r w:rsidR="0078500E">
        <w:rPr>
          <w:lang w:val="en-US"/>
        </w:rPr>
        <w:lastRenderedPageBreak/>
        <w:t xml:space="preserve">carbapenems into the bacterial cell. </w:t>
      </w:r>
      <w:r w:rsidR="00AD0F3B">
        <w:rPr>
          <w:lang w:val="en-US"/>
        </w:rPr>
        <w:t xml:space="preserve"> Resistance-nodulation-division (RND) efflux pumps function as a multi-drug resistance mechanism in Enterobacteriaceae</w:t>
      </w:r>
      <w:r w:rsidR="00BD0CA5">
        <w:rPr>
          <w:lang w:val="en-US"/>
        </w:rPr>
        <w:t xml:space="preserve"> </w:t>
      </w:r>
      <w:r w:rsidR="00956AAD">
        <w:rPr>
          <w:lang w:val="en-US"/>
        </w:rPr>
        <w:fldChar w:fldCharType="begin" w:fldLock="1"/>
      </w:r>
      <w:r w:rsidR="00DA4584">
        <w:rPr>
          <w:lang w:val="en-US"/>
        </w:rPr>
        <w:instrText>ADDIN CSL_CITATION {"citationItems":[{"id":"ITEM-1","itemData":{"DOI":"10.3390/antibiotics8030122","author":[{"dropping-particle":"","family":"Suay-Garcia","given":"B","non-dropping-particle":"","parse-names":false,"suffix":""},{"dropping-particle":"","family":"Perez-Gracia","given":"MT","non-dropping-particle":"","parse-names":false,"suffix":""}],"container-title":"Antibiotics","id":"ITEM-1","issue":"122","issued":{"date-parts":[["2019"]]},"page":"1-16","title":"Present and future of Carbapenem-resistant Enterobacteriaceae (CRE) infections","type":"article-journal","volume":"8"},"uris":["http://www.mendeley.com/documents/?uuid=feff1d57-733d-4bcc-9229-995060f35b7b"]}],"mendeley":{"formattedCitation":"[4]","plainTextFormattedCitation":"[4]","previouslyFormattedCitation":"[4]"},"properties":{"noteIndex":0},"schema":"https://github.com/citation-style-language/schema/raw/master/csl-citation.json"}</w:instrText>
      </w:r>
      <w:r w:rsidR="00956AAD">
        <w:rPr>
          <w:lang w:val="en-US"/>
        </w:rPr>
        <w:fldChar w:fldCharType="separate"/>
      </w:r>
      <w:r w:rsidR="00956AAD" w:rsidRPr="00956AAD">
        <w:rPr>
          <w:noProof/>
          <w:lang w:val="en-US"/>
        </w:rPr>
        <w:t>[4]</w:t>
      </w:r>
      <w:r w:rsidR="00956AAD">
        <w:rPr>
          <w:lang w:val="en-US"/>
        </w:rPr>
        <w:fldChar w:fldCharType="end"/>
      </w:r>
      <w:r w:rsidR="00BD0CA5">
        <w:rPr>
          <w:lang w:val="en-US"/>
        </w:rPr>
        <w:t>.</w:t>
      </w:r>
    </w:p>
    <w:p w14:paraId="73BE079C" w14:textId="54D58BFE" w:rsidR="00783C19" w:rsidRDefault="005D0718" w:rsidP="00AD0F3B">
      <w:pPr>
        <w:jc w:val="both"/>
        <w:rPr>
          <w:lang w:val="en-US"/>
        </w:rPr>
      </w:pPr>
      <w:r>
        <w:rPr>
          <w:lang w:val="en-US"/>
        </w:rPr>
        <w:t xml:space="preserve">CRE has rapidly spread </w:t>
      </w:r>
      <w:r w:rsidR="002C35B1">
        <w:rPr>
          <w:lang w:val="en-US"/>
        </w:rPr>
        <w:t>since the detection of the first strain in the 1980</w:t>
      </w:r>
      <w:r w:rsidR="00B40DDE">
        <w:rPr>
          <w:lang w:val="en-US"/>
        </w:rPr>
        <w:t xml:space="preserve">, with different carbapenemases </w:t>
      </w:r>
      <w:r w:rsidR="00AA66C1">
        <w:rPr>
          <w:lang w:val="en-US"/>
        </w:rPr>
        <w:t xml:space="preserve">predominating </w:t>
      </w:r>
      <w:r w:rsidR="00E4263E">
        <w:rPr>
          <w:lang w:val="en-US"/>
        </w:rPr>
        <w:t>different areas globally</w:t>
      </w:r>
      <w:r w:rsidR="00F651F6">
        <w:rPr>
          <w:lang w:val="en-US"/>
        </w:rPr>
        <w:t xml:space="preserve"> </w:t>
      </w:r>
      <w:r w:rsidR="00F651F6">
        <w:rPr>
          <w:lang w:val="en-US"/>
        </w:rPr>
        <w:fldChar w:fldCharType="begin" w:fldLock="1"/>
      </w:r>
      <w:r w:rsidR="009C4F04">
        <w:rPr>
          <w:lang w:val="en-US"/>
        </w:rPr>
        <w:instrText>ADDIN CSL_CITATION {"citationItems":[{"id":"ITEM-1","itemData":{"DOI":"10.1097/QCO.0000000000000608","ISBN":"0000000000000","author":[{"dropping-particle":"","family":"Brink","given":"Adrian J","non-dropping-particle":"","parse-names":false,"suffix":""}],"container-title":"Current Opinion in Infectious Diseases","id":"ITEM-1","issued":{"date-parts":[["2019"]]},"page":"609-616","title":"Epidemiology of carbapenem-resistant Gram-negative infections globally","type":"article-journal","volume":"32"},"uris":["http://www.mendeley.com/documents/?uuid=9e408cd7-fe18-4257-a4c5-1976c49e3d21"]}],"mendeley":{"formattedCitation":"[5]","plainTextFormattedCitation":"[5]","previouslyFormattedCitation":"[5]"},"properties":{"noteIndex":0},"schema":"https://github.com/citation-style-language/schema/raw/master/csl-citation.json"}</w:instrText>
      </w:r>
      <w:r w:rsidR="00F651F6">
        <w:rPr>
          <w:lang w:val="en-US"/>
        </w:rPr>
        <w:fldChar w:fldCharType="separate"/>
      </w:r>
      <w:r w:rsidR="00F651F6" w:rsidRPr="00F651F6">
        <w:rPr>
          <w:noProof/>
          <w:lang w:val="en-US"/>
        </w:rPr>
        <w:t>[5]</w:t>
      </w:r>
      <w:r w:rsidR="00F651F6">
        <w:rPr>
          <w:lang w:val="en-US"/>
        </w:rPr>
        <w:fldChar w:fldCharType="end"/>
      </w:r>
      <w:r w:rsidR="00E4263E">
        <w:rPr>
          <w:lang w:val="en-US"/>
        </w:rPr>
        <w:t xml:space="preserve">. </w:t>
      </w:r>
      <w:r w:rsidR="002B160B">
        <w:rPr>
          <w:lang w:val="en-US"/>
        </w:rPr>
        <w:t>KPC-producing Enterobacteriaceae are endemic to the United States, Colombia, Argentina</w:t>
      </w:r>
      <w:r w:rsidR="005E45C7">
        <w:rPr>
          <w:lang w:val="en-US"/>
        </w:rPr>
        <w:t xml:space="preserve">, </w:t>
      </w:r>
      <w:proofErr w:type="gramStart"/>
      <w:r w:rsidR="005E45C7">
        <w:rPr>
          <w:lang w:val="en-US"/>
        </w:rPr>
        <w:t>Italy</w:t>
      </w:r>
      <w:proofErr w:type="gramEnd"/>
      <w:r w:rsidR="005E45C7">
        <w:rPr>
          <w:lang w:val="en-US"/>
        </w:rPr>
        <w:t xml:space="preserve"> and Greece</w:t>
      </w:r>
      <w:r w:rsidR="00155B49">
        <w:rPr>
          <w:lang w:val="en-US"/>
        </w:rPr>
        <w:t>, while NDM-1 is the primary carb</w:t>
      </w:r>
      <w:r w:rsidR="00335E7D">
        <w:rPr>
          <w:lang w:val="en-US"/>
        </w:rPr>
        <w:t>a</w:t>
      </w:r>
      <w:r w:rsidR="00155B49">
        <w:rPr>
          <w:lang w:val="en-US"/>
        </w:rPr>
        <w:t>penemase</w:t>
      </w:r>
      <w:r w:rsidR="00335E7D">
        <w:rPr>
          <w:lang w:val="en-US"/>
        </w:rPr>
        <w:t xml:space="preserve"> </w:t>
      </w:r>
      <w:r w:rsidR="00A07773">
        <w:rPr>
          <w:lang w:val="en-US"/>
        </w:rPr>
        <w:t>i</w:t>
      </w:r>
      <w:r w:rsidR="00335E7D">
        <w:rPr>
          <w:lang w:val="en-US"/>
        </w:rPr>
        <w:t xml:space="preserve">n India, Sri Lanka and Pakistan. </w:t>
      </w:r>
      <w:r w:rsidR="003A4189">
        <w:rPr>
          <w:lang w:val="en-US"/>
        </w:rPr>
        <w:t xml:space="preserve">OXA-48-like enzyme producers are endemic to North Africa, the Middle East, </w:t>
      </w:r>
      <w:proofErr w:type="gramStart"/>
      <w:r w:rsidR="003A4189">
        <w:rPr>
          <w:lang w:val="en-US"/>
        </w:rPr>
        <w:t>Turkey</w:t>
      </w:r>
      <w:proofErr w:type="gramEnd"/>
      <w:r w:rsidR="003A4189">
        <w:rPr>
          <w:lang w:val="en-US"/>
        </w:rPr>
        <w:t xml:space="preserve"> and Malta.</w:t>
      </w:r>
      <w:r w:rsidR="003533E3">
        <w:rPr>
          <w:lang w:val="en-US"/>
        </w:rPr>
        <w:t xml:space="preserve"> </w:t>
      </w:r>
    </w:p>
    <w:p w14:paraId="3A1A2E8E" w14:textId="6E60E0B9" w:rsidR="002C7693" w:rsidRDefault="00652CAF" w:rsidP="00AD0F3B">
      <w:pPr>
        <w:jc w:val="both"/>
        <w:rPr>
          <w:lang w:val="en-US"/>
        </w:rPr>
      </w:pPr>
      <w:r>
        <w:rPr>
          <w:lang w:val="en-US"/>
        </w:rPr>
        <w:t>OXA-48 and variants</w:t>
      </w:r>
      <w:r w:rsidR="00444647">
        <w:rPr>
          <w:lang w:val="en-US"/>
        </w:rPr>
        <w:t>,</w:t>
      </w:r>
      <w:r>
        <w:rPr>
          <w:lang w:val="en-US"/>
        </w:rPr>
        <w:t xml:space="preserve"> followed by NDM</w:t>
      </w:r>
      <w:r w:rsidR="00444647">
        <w:rPr>
          <w:lang w:val="en-US"/>
        </w:rPr>
        <w:t>,</w:t>
      </w:r>
      <w:r w:rsidR="00713037">
        <w:rPr>
          <w:lang w:val="en-US"/>
        </w:rPr>
        <w:t xml:space="preserve"> represent the largest proportion of carbapenemases in South Africa</w:t>
      </w:r>
      <w:r w:rsidR="00554C14">
        <w:rPr>
          <w:lang w:val="en-US"/>
        </w:rPr>
        <w:t xml:space="preserve">, with </w:t>
      </w:r>
      <w:r w:rsidR="00554C14" w:rsidRPr="00D04926">
        <w:rPr>
          <w:i/>
          <w:iCs/>
          <w:lang w:val="en-US"/>
        </w:rPr>
        <w:t>K. pneumoniae</w:t>
      </w:r>
      <w:r w:rsidR="00554C14">
        <w:rPr>
          <w:lang w:val="en-US"/>
        </w:rPr>
        <w:t xml:space="preserve"> reported as the most common isolate</w:t>
      </w:r>
      <w:r w:rsidR="00D263BA">
        <w:rPr>
          <w:lang w:val="en-US"/>
        </w:rPr>
        <w:t xml:space="preserve"> </w:t>
      </w:r>
      <w:r w:rsidR="009C4F04">
        <w:rPr>
          <w:lang w:val="en-US"/>
        </w:rPr>
        <w:fldChar w:fldCharType="begin" w:fldLock="1"/>
      </w:r>
      <w:r w:rsidR="00410E02">
        <w:rPr>
          <w:lang w:val="en-US"/>
        </w:rPr>
        <w:instrText>ADDIN CSL_CITATION {"citationItems":[{"id":"ITEM-1","itemData":{"DOI":"10.7196/SAMJ.2018.v108i6.12878","author":[{"dropping-particle":"","family":"Singh-Moodley","given":"A","non-dropping-particle":"","parse-names":false,"suffix":""}],"container-title":"South African Medical Journal","id":"ITEM-1","issue":"6","issued":{"date-parts":[["2018"]]},"page":"495-501","title":"Phenotypic and genotypic correlation of carbapenememase-producing Enterobacteriaceae and problems experienced in routine screening","type":"article-journal","volume":"108"},"uris":["http://www.mendeley.com/documents/?uuid=5d91637e-9606-4285-8a0a-4e36b9100f79"]}],"mendeley":{"formattedCitation":"[6]","plainTextFormattedCitation":"[6]","previouslyFormattedCitation":"[6]"},"properties":{"noteIndex":0},"schema":"https://github.com/citation-style-language/schema/raw/master/csl-citation.json"}</w:instrText>
      </w:r>
      <w:r w:rsidR="009C4F04">
        <w:rPr>
          <w:lang w:val="en-US"/>
        </w:rPr>
        <w:fldChar w:fldCharType="separate"/>
      </w:r>
      <w:r w:rsidR="009C4F04" w:rsidRPr="009C4F04">
        <w:rPr>
          <w:noProof/>
          <w:lang w:val="en-US"/>
        </w:rPr>
        <w:t>[6]</w:t>
      </w:r>
      <w:r w:rsidR="009C4F04">
        <w:rPr>
          <w:lang w:val="en-US"/>
        </w:rPr>
        <w:fldChar w:fldCharType="end"/>
      </w:r>
      <w:r w:rsidR="00D263BA">
        <w:rPr>
          <w:lang w:val="en-US"/>
        </w:rPr>
        <w:t xml:space="preserve">. </w:t>
      </w:r>
      <w:r w:rsidR="000E03B8">
        <w:rPr>
          <w:lang w:val="en-US"/>
        </w:rPr>
        <w:t xml:space="preserve">Although the first report of CPE in South Africa was in 2011 </w:t>
      </w:r>
      <w:r w:rsidR="00410E02">
        <w:rPr>
          <w:lang w:val="en-US"/>
        </w:rPr>
        <w:fldChar w:fldCharType="begin" w:fldLock="1"/>
      </w:r>
      <w:r w:rsidR="008B4932">
        <w:rPr>
          <w:lang w:val="en-US"/>
        </w:rPr>
        <w:instrText>ADDIN CSL_CITATION {"citationItems":[{"id":"ITEM-1","itemData":{"DOI":"10.1128/JCM.05956-11","author":[{"dropping-particle":"","family":"Brink","given":"AJ","non-dropping-particle":"","parse-names":false,"suffix":""},{"dropping-particle":"","family":"Coetzee","given":"J","non-dropping-particle":"","parse-names":false,"suffix":""},{"dropping-particle":"","family":"Clay","given":"CG","non-dropping-particle":"","parse-names":false,"suffix":""},{"dropping-particle":"","family":"Sithole","given":"S","non-dropping-particle":"","parse-names":false,"suffix":""},{"dropping-particle":"","family":"Richards","given":"GA","non-dropping-particle":"","parse-names":false,"suffix":""},{"dropping-particle":"","family":"Poirel","given":"L","non-dropping-particle":"","parse-names":false,"suffix":""},{"dropping-particle":"","family":"Nordmann","given":"P","non-dropping-particle":"","parse-names":false,"suffix":""}],"container-title":"Journal of Clinical Microbiology","id":"ITEM-1","issue":"2","issued":{"date-parts":[["2012"]]},"page":"525-527","title":"Emergence of New Delhi Metallo-Beta-Lactamase (NDM-1) and Klebsiella pneumoniae Carbapenemase ( KPC-2 ) in South Africa","type":"article-journal","volume":"50"},"uris":["http://www.mendeley.com/documents/?uuid=4f8337f4-156a-41a4-8dee-16211ed6640f"]}],"mendeley":{"formattedCitation":"[7]","plainTextFormattedCitation":"[7]","previouslyFormattedCitation":"[7]"},"properties":{"noteIndex":0},"schema":"https://github.com/citation-style-language/schema/raw/master/csl-citation.json"}</w:instrText>
      </w:r>
      <w:r w:rsidR="00410E02">
        <w:rPr>
          <w:lang w:val="en-US"/>
        </w:rPr>
        <w:fldChar w:fldCharType="separate"/>
      </w:r>
      <w:r w:rsidR="00410E02" w:rsidRPr="00410E02">
        <w:rPr>
          <w:noProof/>
          <w:lang w:val="en-US"/>
        </w:rPr>
        <w:t>[7]</w:t>
      </w:r>
      <w:r w:rsidR="00410E02">
        <w:rPr>
          <w:lang w:val="en-US"/>
        </w:rPr>
        <w:fldChar w:fldCharType="end"/>
      </w:r>
      <w:r w:rsidR="008B4932">
        <w:rPr>
          <w:lang w:val="en-US"/>
        </w:rPr>
        <w:fldChar w:fldCharType="begin" w:fldLock="1"/>
      </w:r>
      <w:r w:rsidR="00925FB4">
        <w:rPr>
          <w:lang w:val="en-US"/>
        </w:rPr>
        <w:instrText>ADDIN CSL_CITATION {"citationItems":[{"id":"ITEM-1","itemData":{"DOI":"10.1128/JCM.02234-12","author":[{"dropping-particle":"","family":"Brink","given":"Adrian J","non-dropping-particle":"","parse-names":false,"suffix":""},{"dropping-particle":"","family":"Coetzee","given":"Jennifer","non-dropping-particle":"","parse-names":false,"suffix":""},{"dropping-particle":"","family":"Corcoran","given":"Craig","non-dropping-particle":"","parse-names":false,"suffix":""},{"dropping-particle":"","family":"Clay","given":"Cornelis G","non-dropping-particle":"","parse-names":false,"suffix":""},{"dropping-particle":"","family":"Hari-makkan","given":"Danusha","non-dropping-particle":"","parse-names":false,"suffix":""},{"dropping-particle":"","family":"Jacobson","given":"Rachael K","non-dropping-particle":"","parse-names":false,"suffix":""}],"container-title":"Journal of Clinical Microbiology","id":"ITEM-1","issue":"1","issued":{"date-parts":[["2013"]]},"page":"369-372","title":"Emergence of OXA-48 and OXA-181 Carbapenemases among Enterobacteriaceae in South Africa and Evidence of In Vivo Selection of Colistin Resistance as a Consequence of Selective Decontamination","type":"article-journal","volume":"51"},"uris":["http://www.mendeley.com/documents/?uuid=5f12c903-0a4c-4f28-8e8a-f3c4b6b7da4c"]}],"mendeley":{"formattedCitation":"[8]","plainTextFormattedCitation":"[8]","previouslyFormattedCitation":"[8]"},"properties":{"noteIndex":0},"schema":"https://github.com/citation-style-language/schema/raw/master/csl-citation.json"}</w:instrText>
      </w:r>
      <w:r w:rsidR="008B4932">
        <w:rPr>
          <w:lang w:val="en-US"/>
        </w:rPr>
        <w:fldChar w:fldCharType="separate"/>
      </w:r>
      <w:r w:rsidR="008B4932" w:rsidRPr="008B4932">
        <w:rPr>
          <w:noProof/>
          <w:lang w:val="en-US"/>
        </w:rPr>
        <w:t>[8]</w:t>
      </w:r>
      <w:r w:rsidR="008B4932">
        <w:rPr>
          <w:lang w:val="en-US"/>
        </w:rPr>
        <w:fldChar w:fldCharType="end"/>
      </w:r>
      <w:r w:rsidR="00701F46">
        <w:rPr>
          <w:lang w:val="en-US"/>
        </w:rPr>
        <w:t xml:space="preserve">, with </w:t>
      </w:r>
      <w:r w:rsidR="00F212C1">
        <w:rPr>
          <w:lang w:val="en-US"/>
        </w:rPr>
        <w:t>rem</w:t>
      </w:r>
      <w:r w:rsidR="00633F92">
        <w:rPr>
          <w:lang w:val="en-US"/>
        </w:rPr>
        <w:t>arkable increases in the isolation of suspected CPE observ</w:t>
      </w:r>
      <w:r w:rsidR="00EC18D5">
        <w:rPr>
          <w:lang w:val="en-US"/>
        </w:rPr>
        <w:t>ed on a national level,</w:t>
      </w:r>
      <w:r w:rsidR="000E03B8">
        <w:rPr>
          <w:lang w:val="en-US"/>
        </w:rPr>
        <w:t xml:space="preserve"> </w:t>
      </w:r>
      <w:r w:rsidR="00E54AD2">
        <w:rPr>
          <w:lang w:val="en-US"/>
        </w:rPr>
        <w:t xml:space="preserve">clinical and molecular epidemiology </w:t>
      </w:r>
      <w:r w:rsidR="008353A6">
        <w:rPr>
          <w:lang w:val="en-US"/>
        </w:rPr>
        <w:t>of CPE in both private and public sectors</w:t>
      </w:r>
      <w:r w:rsidR="00C07CB2">
        <w:rPr>
          <w:lang w:val="en-US"/>
        </w:rPr>
        <w:t xml:space="preserve"> in South Africa</w:t>
      </w:r>
      <w:r w:rsidR="008353A6">
        <w:rPr>
          <w:lang w:val="en-US"/>
        </w:rPr>
        <w:t xml:space="preserve"> </w:t>
      </w:r>
      <w:r w:rsidR="008353A6" w:rsidRPr="004B59CB">
        <w:rPr>
          <w:lang w:val="en-US"/>
        </w:rPr>
        <w:t xml:space="preserve">remain unknown. </w:t>
      </w:r>
      <w:r w:rsidR="00634C71" w:rsidRPr="004B59CB">
        <w:rPr>
          <w:lang w:val="en-US"/>
        </w:rPr>
        <w:t>Neither</w:t>
      </w:r>
      <w:r w:rsidR="00634C71">
        <w:rPr>
          <w:lang w:val="en-US"/>
        </w:rPr>
        <w:t xml:space="preserve"> genotyping methods nor whole-genome sequencing (WGS) have been </w:t>
      </w:r>
      <w:r w:rsidR="00C07CB2">
        <w:rPr>
          <w:lang w:val="en-US"/>
        </w:rPr>
        <w:t>implemented</w:t>
      </w:r>
      <w:r w:rsidR="00634C71">
        <w:rPr>
          <w:lang w:val="en-US"/>
        </w:rPr>
        <w:t xml:space="preserve"> to </w:t>
      </w:r>
      <w:r w:rsidR="008614F7">
        <w:rPr>
          <w:lang w:val="en-US"/>
        </w:rPr>
        <w:t xml:space="preserve">confirm suspected CPE nor determine transmission clusters of </w:t>
      </w:r>
      <w:r w:rsidR="00DB2D8A">
        <w:rPr>
          <w:lang w:val="en-US"/>
        </w:rPr>
        <w:t>resistant determinants.</w:t>
      </w:r>
    </w:p>
    <w:p w14:paraId="35FABF8C" w14:textId="77777777" w:rsidR="003E1061" w:rsidRDefault="003E1061" w:rsidP="00AD0F3B">
      <w:pPr>
        <w:jc w:val="both"/>
        <w:rPr>
          <w:lang w:val="en-US"/>
        </w:rPr>
      </w:pPr>
    </w:p>
    <w:p w14:paraId="14247DF9" w14:textId="6B44E996" w:rsidR="00BE24C0" w:rsidRPr="00BE24C0" w:rsidRDefault="00BE24C0" w:rsidP="00AD0F3B">
      <w:pPr>
        <w:jc w:val="both"/>
        <w:rPr>
          <w:b/>
          <w:bCs/>
          <w:lang w:val="en-US"/>
        </w:rPr>
      </w:pPr>
      <w:r w:rsidRPr="00BE24C0">
        <w:rPr>
          <w:b/>
          <w:bCs/>
          <w:lang w:val="en-US"/>
        </w:rPr>
        <w:t>Aims and objectives</w:t>
      </w:r>
    </w:p>
    <w:p w14:paraId="796DA7AE" w14:textId="3665F325" w:rsidR="00EC237C" w:rsidRDefault="00D97364" w:rsidP="00A11A9D">
      <w:pPr>
        <w:jc w:val="both"/>
        <w:rPr>
          <w:rFonts w:cstheme="minorHAnsi"/>
          <w:color w:val="000000"/>
          <w:lang w:val="en-US"/>
        </w:rPr>
      </w:pPr>
      <w:r>
        <w:rPr>
          <w:lang w:val="en-US"/>
        </w:rPr>
        <w:t>This multidisciplinary, multi-</w:t>
      </w:r>
      <w:r w:rsidR="00C51C31">
        <w:rPr>
          <w:lang w:val="en-US"/>
        </w:rPr>
        <w:t>centered</w:t>
      </w:r>
      <w:r>
        <w:rPr>
          <w:lang w:val="en-US"/>
        </w:rPr>
        <w:t xml:space="preserve">, prospective laboratory-based cohort study </w:t>
      </w:r>
      <w:r w:rsidR="00CE3A69">
        <w:rPr>
          <w:lang w:val="en-US"/>
        </w:rPr>
        <w:t>aims at integrating clinical and molecular epidemiology and determining transmission patterns of CREs among in-patients in both private and public sectors in the Cape Town Metropole</w:t>
      </w:r>
      <w:r w:rsidR="00BE45FC">
        <w:rPr>
          <w:lang w:val="en-US"/>
        </w:rPr>
        <w:t>, South Africa</w:t>
      </w:r>
      <w:r w:rsidR="00CE3A69">
        <w:rPr>
          <w:lang w:val="en-US"/>
        </w:rPr>
        <w:t xml:space="preserve">. </w:t>
      </w:r>
      <w:r w:rsidR="00EC237C">
        <w:rPr>
          <w:rFonts w:cstheme="minorHAnsi"/>
          <w:color w:val="000000"/>
          <w:lang w:val="en-US"/>
        </w:rPr>
        <w:t xml:space="preserve">This to enable a </w:t>
      </w:r>
      <w:r w:rsidR="00EC237C" w:rsidRPr="000A3ED9">
        <w:rPr>
          <w:rFonts w:cstheme="minorHAnsi"/>
        </w:rPr>
        <w:t>better understand</w:t>
      </w:r>
      <w:r w:rsidR="00EC237C">
        <w:rPr>
          <w:rFonts w:cstheme="minorHAnsi"/>
        </w:rPr>
        <w:t>ing of</w:t>
      </w:r>
      <w:r w:rsidR="00EC237C" w:rsidRPr="000A3ED9">
        <w:rPr>
          <w:rFonts w:cstheme="minorHAnsi"/>
        </w:rPr>
        <w:t xml:space="preserve"> the risk factors, clinical </w:t>
      </w:r>
      <w:r w:rsidR="00925FB4" w:rsidRPr="000A3ED9">
        <w:rPr>
          <w:rFonts w:cstheme="minorHAnsi"/>
        </w:rPr>
        <w:t>outcomes,</w:t>
      </w:r>
      <w:r w:rsidR="00EC237C" w:rsidRPr="000A3ED9">
        <w:rPr>
          <w:rFonts w:cstheme="minorHAnsi"/>
        </w:rPr>
        <w:t xml:space="preserve"> and transmission patterns</w:t>
      </w:r>
      <w:r w:rsidR="00EC237C">
        <w:rPr>
          <w:rFonts w:cstheme="minorHAnsi"/>
        </w:rPr>
        <w:t xml:space="preserve"> </w:t>
      </w:r>
      <w:r w:rsidR="00EC237C" w:rsidRPr="000A3ED9">
        <w:rPr>
          <w:rFonts w:cstheme="minorHAnsi"/>
        </w:rPr>
        <w:t>of C</w:t>
      </w:r>
      <w:r w:rsidR="00CD7F30">
        <w:rPr>
          <w:rFonts w:cstheme="minorHAnsi"/>
        </w:rPr>
        <w:t>R</w:t>
      </w:r>
      <w:r w:rsidR="00EC237C" w:rsidRPr="000A3ED9">
        <w:rPr>
          <w:rFonts w:cstheme="minorHAnsi"/>
        </w:rPr>
        <w:t xml:space="preserve">Es </w:t>
      </w:r>
      <w:r w:rsidR="00EC237C">
        <w:rPr>
          <w:rFonts w:cstheme="minorHAnsi"/>
        </w:rPr>
        <w:t xml:space="preserve">among in-patients </w:t>
      </w:r>
      <w:r w:rsidR="00EC237C" w:rsidRPr="000A3ED9">
        <w:rPr>
          <w:rFonts w:cstheme="minorHAnsi"/>
        </w:rPr>
        <w:t xml:space="preserve">in </w:t>
      </w:r>
      <w:r w:rsidR="00EC237C">
        <w:rPr>
          <w:rFonts w:cstheme="minorHAnsi"/>
        </w:rPr>
        <w:t>the Cape Town Metropole. The objective is</w:t>
      </w:r>
      <w:r w:rsidR="00EC237C" w:rsidRPr="00E34925">
        <w:rPr>
          <w:rFonts w:cstheme="minorHAnsi"/>
          <w:color w:val="000000"/>
          <w:lang w:val="en-US"/>
        </w:rPr>
        <w:t xml:space="preserve"> </w:t>
      </w:r>
      <w:r w:rsidR="00EC237C" w:rsidRPr="005F4A17">
        <w:rPr>
          <w:rFonts w:cstheme="minorHAnsi"/>
          <w:color w:val="000000"/>
          <w:lang w:val="en-US"/>
        </w:rPr>
        <w:t xml:space="preserve">to inform </w:t>
      </w:r>
      <w:r w:rsidR="00EC237C">
        <w:rPr>
          <w:rFonts w:cstheme="minorHAnsi"/>
          <w:color w:val="000000"/>
          <w:lang w:val="en-US"/>
        </w:rPr>
        <w:t>evidence-based</w:t>
      </w:r>
      <w:r w:rsidR="00EC237C">
        <w:rPr>
          <w:rFonts w:cstheme="minorHAnsi"/>
        </w:rPr>
        <w:t xml:space="preserve"> </w:t>
      </w:r>
      <w:r w:rsidR="00EC237C">
        <w:rPr>
          <w:rFonts w:cstheme="minorHAnsi"/>
          <w:color w:val="000000"/>
          <w:lang w:val="en-US"/>
        </w:rPr>
        <w:t xml:space="preserve">regional </w:t>
      </w:r>
      <w:r w:rsidR="00EC237C" w:rsidRPr="008C64AC">
        <w:rPr>
          <w:rFonts w:cstheme="minorHAnsi"/>
          <w:color w:val="000000"/>
          <w:lang w:val="en-US"/>
        </w:rPr>
        <w:t>patient management</w:t>
      </w:r>
      <w:r w:rsidR="00EC237C">
        <w:rPr>
          <w:rFonts w:cstheme="minorHAnsi"/>
          <w:color w:val="000000"/>
          <w:lang w:val="en-US"/>
        </w:rPr>
        <w:t>, antimicrobial stewardship</w:t>
      </w:r>
      <w:r w:rsidR="00EC237C" w:rsidRPr="008C64AC">
        <w:rPr>
          <w:rFonts w:cstheme="minorHAnsi"/>
          <w:color w:val="000000"/>
          <w:lang w:val="en-US"/>
        </w:rPr>
        <w:t xml:space="preserve"> </w:t>
      </w:r>
      <w:r w:rsidR="00EC237C">
        <w:rPr>
          <w:rFonts w:cstheme="minorHAnsi"/>
          <w:color w:val="000000"/>
          <w:lang w:val="en-US"/>
        </w:rPr>
        <w:t xml:space="preserve">(AMS) </w:t>
      </w:r>
      <w:r w:rsidR="00EC237C" w:rsidRPr="008C64AC">
        <w:rPr>
          <w:rFonts w:cstheme="minorHAnsi"/>
          <w:color w:val="000000"/>
          <w:lang w:val="en-US"/>
        </w:rPr>
        <w:t xml:space="preserve">and infection prevention and control </w:t>
      </w:r>
      <w:r w:rsidR="00EC237C">
        <w:rPr>
          <w:rFonts w:cstheme="minorHAnsi"/>
          <w:color w:val="000000"/>
          <w:lang w:val="en-US"/>
        </w:rPr>
        <w:t xml:space="preserve">(IPC) strategies and </w:t>
      </w:r>
      <w:r w:rsidR="00EC237C" w:rsidRPr="008C64AC">
        <w:rPr>
          <w:rFonts w:cstheme="minorHAnsi"/>
          <w:color w:val="000000"/>
          <w:lang w:val="en-US"/>
        </w:rPr>
        <w:t>interventions.</w:t>
      </w:r>
    </w:p>
    <w:p w14:paraId="6BD9768A" w14:textId="77777777" w:rsidR="003E1061" w:rsidRPr="00A11A9D" w:rsidRDefault="003E1061" w:rsidP="00A11A9D">
      <w:pPr>
        <w:jc w:val="both"/>
        <w:rPr>
          <w:lang w:val="en-US"/>
        </w:rPr>
      </w:pPr>
    </w:p>
    <w:p w14:paraId="5EBA0F8C" w14:textId="4CEBE0F8" w:rsidR="00A11A9D" w:rsidRPr="00BE24C0" w:rsidRDefault="00A11A9D" w:rsidP="00A11A9D">
      <w:pPr>
        <w:jc w:val="both"/>
        <w:rPr>
          <w:b/>
          <w:bCs/>
          <w:lang w:val="en-US"/>
        </w:rPr>
      </w:pPr>
      <w:r>
        <w:rPr>
          <w:b/>
          <w:bCs/>
          <w:lang w:val="en-US"/>
        </w:rPr>
        <w:t>Methodology</w:t>
      </w:r>
    </w:p>
    <w:p w14:paraId="0F0C3988" w14:textId="4DE72DDF" w:rsidR="00552A46" w:rsidRPr="00C129B8" w:rsidRDefault="005F593D" w:rsidP="00AD0F3B">
      <w:pPr>
        <w:jc w:val="both"/>
        <w:rPr>
          <w:i/>
          <w:iCs/>
          <w:lang w:val="en-US"/>
        </w:rPr>
      </w:pPr>
      <w:r w:rsidRPr="00C129B8">
        <w:rPr>
          <w:i/>
          <w:iCs/>
          <w:lang w:val="en-US"/>
        </w:rPr>
        <w:t>Patient selection</w:t>
      </w:r>
    </w:p>
    <w:p w14:paraId="42DF3D13" w14:textId="77777777" w:rsidR="0065546F" w:rsidRDefault="005F593D" w:rsidP="009C4C41">
      <w:pPr>
        <w:jc w:val="both"/>
        <w:rPr>
          <w:rFonts w:cstheme="minorHAnsi"/>
        </w:rPr>
      </w:pPr>
      <w:r>
        <w:rPr>
          <w:lang w:val="en-US"/>
        </w:rPr>
        <w:t xml:space="preserve">Patients </w:t>
      </w:r>
      <w:r w:rsidRPr="008D6711">
        <w:rPr>
          <w:rFonts w:cstheme="minorHAnsi"/>
        </w:rPr>
        <w:t xml:space="preserve">will be identified prospectively over a </w:t>
      </w:r>
      <w:r w:rsidRPr="009100AE">
        <w:rPr>
          <w:rFonts w:cstheme="minorHAnsi"/>
        </w:rPr>
        <w:t xml:space="preserve">12-month period, based on </w:t>
      </w:r>
      <w:r>
        <w:rPr>
          <w:rFonts w:cstheme="minorHAnsi"/>
        </w:rPr>
        <w:t xml:space="preserve">phenotypic </w:t>
      </w:r>
      <w:r w:rsidRPr="009100AE">
        <w:rPr>
          <w:rFonts w:cstheme="minorHAnsi"/>
        </w:rPr>
        <w:t>culture results.</w:t>
      </w:r>
      <w:r w:rsidR="009C4C41">
        <w:rPr>
          <w:rFonts w:cstheme="minorHAnsi"/>
        </w:rPr>
        <w:t xml:space="preserve"> </w:t>
      </w:r>
      <w:r w:rsidR="00C129B8">
        <w:rPr>
          <w:rFonts w:cstheme="minorHAnsi"/>
        </w:rPr>
        <w:t>P</w:t>
      </w:r>
      <w:r>
        <w:rPr>
          <w:rFonts w:cstheme="minorHAnsi"/>
        </w:rPr>
        <w:t xml:space="preserve">ublic and academic hospitals are served by a single referral laboratory of the National Health Laboratory Service associated with the University of Cape Town. </w:t>
      </w:r>
      <w:proofErr w:type="spellStart"/>
      <w:r w:rsidR="0065546F" w:rsidRPr="0065546F">
        <w:rPr>
          <w:rFonts w:cstheme="minorHAnsi"/>
        </w:rPr>
        <w:t>PathCare</w:t>
      </w:r>
      <w:proofErr w:type="spellEnd"/>
      <w:r w:rsidR="0065546F" w:rsidRPr="0065546F">
        <w:rPr>
          <w:rFonts w:cstheme="minorHAnsi"/>
        </w:rPr>
        <w:t>, Lancet, and Ampath laboratories in Cape town serve all the private hospitals through centralized referral laboratories.</w:t>
      </w:r>
    </w:p>
    <w:p w14:paraId="197819C1" w14:textId="79F1BD31" w:rsidR="005F593D" w:rsidRDefault="005F593D" w:rsidP="00E476E1">
      <w:pPr>
        <w:jc w:val="both"/>
        <w:rPr>
          <w:rFonts w:cstheme="minorHAnsi"/>
        </w:rPr>
      </w:pPr>
      <w:r>
        <w:rPr>
          <w:rFonts w:cstheme="minorHAnsi"/>
        </w:rPr>
        <w:t>I</w:t>
      </w:r>
      <w:r w:rsidRPr="001074F1">
        <w:rPr>
          <w:rFonts w:cstheme="minorHAnsi"/>
        </w:rPr>
        <w:t>npatients with CRE from clinical cultures</w:t>
      </w:r>
      <w:r>
        <w:rPr>
          <w:rFonts w:cstheme="minorHAnsi"/>
        </w:rPr>
        <w:t xml:space="preserve">, defined as </w:t>
      </w:r>
      <w:r w:rsidR="009C2B2F">
        <w:rPr>
          <w:rFonts w:cstheme="minorHAnsi"/>
        </w:rPr>
        <w:t>“</w:t>
      </w:r>
      <w:r>
        <w:rPr>
          <w:rFonts w:cstheme="minorHAnsi"/>
        </w:rPr>
        <w:t xml:space="preserve">any </w:t>
      </w:r>
      <w:r w:rsidRPr="009C2B2F">
        <w:rPr>
          <w:rFonts w:cstheme="minorHAnsi"/>
        </w:rPr>
        <w:t>Enterobacterales</w:t>
      </w:r>
      <w:r w:rsidR="009C2B2F">
        <w:rPr>
          <w:rFonts w:cstheme="minorHAnsi"/>
          <w:iCs/>
        </w:rPr>
        <w:t>”</w:t>
      </w:r>
      <w:r>
        <w:rPr>
          <w:rFonts w:cstheme="minorHAnsi"/>
          <w:iCs/>
        </w:rPr>
        <w:t xml:space="preserve"> with phenotypic resistance to any carbapenem,</w:t>
      </w:r>
      <w:r>
        <w:rPr>
          <w:rFonts w:cstheme="minorHAnsi"/>
        </w:rPr>
        <w:t xml:space="preserve"> </w:t>
      </w:r>
      <w:r w:rsidRPr="001074F1">
        <w:rPr>
          <w:rFonts w:cstheme="minorHAnsi"/>
        </w:rPr>
        <w:t>w</w:t>
      </w:r>
      <w:r>
        <w:rPr>
          <w:rFonts w:cstheme="minorHAnsi"/>
        </w:rPr>
        <w:t xml:space="preserve">ill be recruited </w:t>
      </w:r>
      <w:r w:rsidRPr="001074F1">
        <w:rPr>
          <w:rFonts w:cstheme="minorHAnsi"/>
        </w:rPr>
        <w:t>from daily microbiology laboratory report</w:t>
      </w:r>
      <w:r>
        <w:rPr>
          <w:rFonts w:cstheme="minorHAnsi"/>
        </w:rPr>
        <w:t xml:space="preserve">s in </w:t>
      </w:r>
      <w:r w:rsidR="009C2B2F">
        <w:rPr>
          <w:rFonts w:cstheme="minorHAnsi"/>
        </w:rPr>
        <w:t xml:space="preserve">referral </w:t>
      </w:r>
      <w:r>
        <w:rPr>
          <w:rFonts w:cstheme="minorHAnsi"/>
        </w:rPr>
        <w:t xml:space="preserve">laboratories. </w:t>
      </w:r>
      <w:r w:rsidRPr="009100AE">
        <w:rPr>
          <w:rFonts w:cstheme="minorHAnsi"/>
        </w:rPr>
        <w:t xml:space="preserve">Any patient from whom a </w:t>
      </w:r>
      <w:r>
        <w:rPr>
          <w:rFonts w:cstheme="minorHAnsi"/>
        </w:rPr>
        <w:t>suspected CRE</w:t>
      </w:r>
      <w:r w:rsidRPr="009100AE">
        <w:rPr>
          <w:rFonts w:cstheme="minorHAnsi"/>
        </w:rPr>
        <w:t xml:space="preserve"> is isolated will be eligible. </w:t>
      </w:r>
    </w:p>
    <w:p w14:paraId="2F80B3EA" w14:textId="77777777" w:rsidR="005F593D" w:rsidRPr="00883B69" w:rsidRDefault="005F593D" w:rsidP="005F593D">
      <w:pPr>
        <w:rPr>
          <w:rFonts w:cstheme="minorHAnsi"/>
          <w:i/>
          <w:iCs/>
        </w:rPr>
      </w:pPr>
      <w:r w:rsidRPr="00883B69">
        <w:rPr>
          <w:rFonts w:cstheme="minorHAnsi"/>
          <w:i/>
          <w:iCs/>
        </w:rPr>
        <w:t>Data extraction</w:t>
      </w:r>
    </w:p>
    <w:p w14:paraId="7665196A" w14:textId="4A7800B2" w:rsidR="005F593D" w:rsidRPr="00C6248F" w:rsidRDefault="005F593D" w:rsidP="00C6248F">
      <w:pPr>
        <w:jc w:val="both"/>
        <w:rPr>
          <w:rFonts w:cstheme="minorHAnsi"/>
        </w:rPr>
      </w:pPr>
      <w:r w:rsidRPr="001074F1">
        <w:rPr>
          <w:rFonts w:cstheme="minorHAnsi"/>
        </w:rPr>
        <w:t>Hospital-level</w:t>
      </w:r>
      <w:r>
        <w:rPr>
          <w:rFonts w:cstheme="minorHAnsi"/>
        </w:rPr>
        <w:t xml:space="preserve"> </w:t>
      </w:r>
      <w:r w:rsidRPr="001074F1">
        <w:rPr>
          <w:rFonts w:cstheme="minorHAnsi"/>
        </w:rPr>
        <w:t>patient-days (denominator data) w</w:t>
      </w:r>
      <w:r>
        <w:rPr>
          <w:rFonts w:cstheme="minorHAnsi"/>
        </w:rPr>
        <w:t xml:space="preserve">ill be obtained </w:t>
      </w:r>
      <w:r w:rsidRPr="001074F1">
        <w:rPr>
          <w:rFonts w:cstheme="minorHAnsi"/>
        </w:rPr>
        <w:t>from participating institutions.</w:t>
      </w:r>
      <w:r w:rsidR="00E476E1">
        <w:rPr>
          <w:rFonts w:cstheme="minorHAnsi"/>
        </w:rPr>
        <w:t xml:space="preserve"> </w:t>
      </w:r>
      <w:r>
        <w:rPr>
          <w:rFonts w:cstheme="minorHAnsi"/>
        </w:rPr>
        <w:t>Metadata (</w:t>
      </w:r>
      <w:r w:rsidRPr="001074F1">
        <w:rPr>
          <w:rFonts w:cstheme="minorHAnsi"/>
        </w:rPr>
        <w:t xml:space="preserve">including the species </w:t>
      </w:r>
      <w:r>
        <w:rPr>
          <w:rFonts w:cstheme="minorHAnsi"/>
        </w:rPr>
        <w:t xml:space="preserve">identity </w:t>
      </w:r>
      <w:r w:rsidRPr="001074F1">
        <w:rPr>
          <w:rFonts w:cstheme="minorHAnsi"/>
        </w:rPr>
        <w:t xml:space="preserve">of the </w:t>
      </w:r>
      <w:r w:rsidRPr="00E476E1">
        <w:rPr>
          <w:rFonts w:cstheme="minorHAnsi"/>
        </w:rPr>
        <w:t>Enterobacterales</w:t>
      </w:r>
      <w:r w:rsidRPr="001074F1">
        <w:rPr>
          <w:rFonts w:cstheme="minorHAnsi"/>
        </w:rPr>
        <w:t>,</w:t>
      </w:r>
      <w:r>
        <w:rPr>
          <w:rFonts w:cstheme="minorHAnsi"/>
        </w:rPr>
        <w:t xml:space="preserve"> </w:t>
      </w:r>
      <w:r w:rsidRPr="001074F1">
        <w:rPr>
          <w:rFonts w:cstheme="minorHAnsi"/>
        </w:rPr>
        <w:t xml:space="preserve">the types of specimens, and their </w:t>
      </w:r>
      <w:r>
        <w:rPr>
          <w:rFonts w:cstheme="minorHAnsi"/>
        </w:rPr>
        <w:t xml:space="preserve">enzyme </w:t>
      </w:r>
      <w:r w:rsidRPr="001074F1">
        <w:rPr>
          <w:rFonts w:cstheme="minorHAnsi"/>
        </w:rPr>
        <w:t>genotypes</w:t>
      </w:r>
      <w:r>
        <w:rPr>
          <w:rFonts w:cstheme="minorHAnsi"/>
        </w:rPr>
        <w:t>) will be recorded.</w:t>
      </w:r>
      <w:r w:rsidRPr="00DB06A1">
        <w:t xml:space="preserve"> </w:t>
      </w:r>
      <w:r w:rsidRPr="00B1689A">
        <w:t xml:space="preserve">Once </w:t>
      </w:r>
      <w:r>
        <w:t xml:space="preserve">confirmed cases have been </w:t>
      </w:r>
      <w:r w:rsidRPr="00B1689A">
        <w:t xml:space="preserve">identified, subject to informed consent, a questionnaire will be administered regarding known risk factors for CPE colonisation and infection </w:t>
      </w:r>
      <w:r>
        <w:t xml:space="preserve">and </w:t>
      </w:r>
      <w:r w:rsidRPr="00B1689A">
        <w:t xml:space="preserve">will </w:t>
      </w:r>
      <w:r>
        <w:t xml:space="preserve">also </w:t>
      </w:r>
      <w:r w:rsidRPr="00B1689A">
        <w:t>include information regarding HIV status. Retrospective data will be obtained from record review. If the patient is less than 18 years old, informed consent will be sought from an accompanying parent or guardian.</w:t>
      </w:r>
      <w:r>
        <w:t xml:space="preserve"> </w:t>
      </w:r>
    </w:p>
    <w:p w14:paraId="1F8CE8BA" w14:textId="77777777" w:rsidR="005F593D" w:rsidRPr="007A00B9" w:rsidRDefault="005F593D" w:rsidP="005F593D">
      <w:pPr>
        <w:rPr>
          <w:rFonts w:cstheme="minorHAnsi"/>
          <w:bCs/>
          <w:i/>
          <w:lang w:val="en-GB"/>
        </w:rPr>
      </w:pPr>
      <w:r>
        <w:rPr>
          <w:rFonts w:cstheme="minorHAnsi"/>
          <w:bCs/>
          <w:i/>
          <w:lang w:val="en-GB"/>
        </w:rPr>
        <w:lastRenderedPageBreak/>
        <w:t xml:space="preserve">Risk assessment questionnaire </w:t>
      </w:r>
    </w:p>
    <w:p w14:paraId="662E8E82" w14:textId="0733353D" w:rsidR="005F593D" w:rsidRPr="00194FB2" w:rsidRDefault="005F593D" w:rsidP="005F593D">
      <w:pPr>
        <w:rPr>
          <w:rFonts w:cstheme="minorHAnsi"/>
          <w:lang w:val="en-US"/>
        </w:rPr>
      </w:pPr>
      <w:r w:rsidRPr="00194FB2">
        <w:rPr>
          <w:rFonts w:cstheme="minorHAnsi"/>
          <w:lang w:val="en-US"/>
        </w:rPr>
        <w:t>The following information will be sought from the patient and from the medical records</w:t>
      </w:r>
    </w:p>
    <w:tbl>
      <w:tblPr>
        <w:tblStyle w:val="TableGrid"/>
        <w:tblW w:w="0" w:type="auto"/>
        <w:tblLook w:val="04A0" w:firstRow="1" w:lastRow="0" w:firstColumn="1" w:lastColumn="0" w:noHBand="0" w:noVBand="1"/>
      </w:tblPr>
      <w:tblGrid>
        <w:gridCol w:w="9016"/>
      </w:tblGrid>
      <w:tr w:rsidR="005F593D" w14:paraId="517E926E" w14:textId="77777777" w:rsidTr="00DD35FD">
        <w:tc>
          <w:tcPr>
            <w:tcW w:w="9016" w:type="dxa"/>
            <w:shd w:val="clear" w:color="auto" w:fill="D9E2F3" w:themeFill="accent1" w:themeFillTint="33"/>
          </w:tcPr>
          <w:p w14:paraId="231E03A5" w14:textId="77777777" w:rsidR="005F593D" w:rsidRPr="00764277" w:rsidRDefault="005F593D" w:rsidP="00B97913">
            <w:pPr>
              <w:rPr>
                <w:b/>
              </w:rPr>
            </w:pPr>
            <w:r w:rsidRPr="00764277">
              <w:rPr>
                <w:b/>
              </w:rPr>
              <w:t>Demographic variables</w:t>
            </w:r>
          </w:p>
        </w:tc>
      </w:tr>
      <w:tr w:rsidR="005F593D" w14:paraId="2A31DD71" w14:textId="77777777" w:rsidTr="00B97913">
        <w:tc>
          <w:tcPr>
            <w:tcW w:w="9016" w:type="dxa"/>
          </w:tcPr>
          <w:p w14:paraId="7FC4565B" w14:textId="77777777" w:rsidR="005F593D" w:rsidRDefault="005F593D" w:rsidP="00B97913">
            <w:r>
              <w:t>Age, sex, ethnicity</w:t>
            </w:r>
          </w:p>
        </w:tc>
      </w:tr>
      <w:tr w:rsidR="005F593D" w14:paraId="3242C90E" w14:textId="77777777" w:rsidTr="00B97913">
        <w:tc>
          <w:tcPr>
            <w:tcW w:w="9016" w:type="dxa"/>
          </w:tcPr>
          <w:p w14:paraId="5608FF9B" w14:textId="77777777" w:rsidR="005F593D" w:rsidRDefault="005F593D" w:rsidP="00B97913">
            <w:r>
              <w:t>Housing type</w:t>
            </w:r>
          </w:p>
        </w:tc>
      </w:tr>
      <w:tr w:rsidR="005F593D" w14:paraId="64844394" w14:textId="77777777" w:rsidTr="00B97913">
        <w:tc>
          <w:tcPr>
            <w:tcW w:w="9016" w:type="dxa"/>
          </w:tcPr>
          <w:p w14:paraId="4727FF91" w14:textId="77777777" w:rsidR="005F593D" w:rsidRDefault="005F593D" w:rsidP="00B97913">
            <w:r>
              <w:t>HIV status (if positive viral loads and CD4 count)</w:t>
            </w:r>
          </w:p>
        </w:tc>
      </w:tr>
      <w:tr w:rsidR="005F593D" w14:paraId="38652FE9" w14:textId="77777777" w:rsidTr="00DD35FD">
        <w:tc>
          <w:tcPr>
            <w:tcW w:w="9016" w:type="dxa"/>
            <w:shd w:val="clear" w:color="auto" w:fill="D9E2F3" w:themeFill="accent1" w:themeFillTint="33"/>
          </w:tcPr>
          <w:p w14:paraId="41215FCE" w14:textId="77777777" w:rsidR="005F593D" w:rsidRPr="00764277" w:rsidRDefault="005F593D" w:rsidP="00B97913">
            <w:pPr>
              <w:rPr>
                <w:b/>
              </w:rPr>
            </w:pPr>
            <w:r w:rsidRPr="00764277">
              <w:rPr>
                <w:b/>
              </w:rPr>
              <w:t>Exposure variables</w:t>
            </w:r>
          </w:p>
        </w:tc>
      </w:tr>
      <w:tr w:rsidR="005F593D" w14:paraId="20432FE0" w14:textId="77777777" w:rsidTr="00B97913">
        <w:tc>
          <w:tcPr>
            <w:tcW w:w="9016" w:type="dxa"/>
          </w:tcPr>
          <w:p w14:paraId="1CEBE1D3" w14:textId="77777777" w:rsidR="005F593D" w:rsidRDefault="005F593D" w:rsidP="00B97913">
            <w:r w:rsidRPr="00764277">
              <w:rPr>
                <w:i/>
              </w:rPr>
              <w:t>Travel history</w:t>
            </w:r>
            <w:r>
              <w:t>: travelled and stayed for at least 3 days outside South Africa in the last year; number of places visited; countries visited; duration of stay in each country; contact with healthcare services at the place of visit</w:t>
            </w:r>
          </w:p>
        </w:tc>
      </w:tr>
      <w:tr w:rsidR="005F593D" w14:paraId="00C637DC" w14:textId="77777777" w:rsidTr="00B97913">
        <w:tc>
          <w:tcPr>
            <w:tcW w:w="9016" w:type="dxa"/>
          </w:tcPr>
          <w:p w14:paraId="4C905E25" w14:textId="77777777" w:rsidR="005F593D" w:rsidRDefault="005F593D" w:rsidP="00B97913">
            <w:r w:rsidRPr="001A1011">
              <w:rPr>
                <w:i/>
              </w:rPr>
              <w:t>Hospitalisation history</w:t>
            </w:r>
            <w:r>
              <w:rPr>
                <w:i/>
              </w:rPr>
              <w:t>*</w:t>
            </w:r>
            <w:r>
              <w:t>: hospitalised during preceding one year; number of admissions; place of admission (name and location of institution); duration of admission (days).</w:t>
            </w:r>
          </w:p>
          <w:p w14:paraId="59788D01" w14:textId="77777777" w:rsidR="005F593D" w:rsidRDefault="005F593D" w:rsidP="00B97913">
            <w:r>
              <w:t xml:space="preserve">* Includes out-patient visit at haematology-oncology units and renal dialysis units </w:t>
            </w:r>
          </w:p>
        </w:tc>
      </w:tr>
      <w:tr w:rsidR="005F593D" w14:paraId="3A8B68AC" w14:textId="77777777" w:rsidTr="00B97913">
        <w:tc>
          <w:tcPr>
            <w:tcW w:w="9016" w:type="dxa"/>
          </w:tcPr>
          <w:p w14:paraId="4F5993E4" w14:textId="77777777" w:rsidR="005F593D" w:rsidRDefault="005F593D" w:rsidP="00B97913">
            <w:r w:rsidRPr="00F37C03">
              <w:rPr>
                <w:i/>
              </w:rPr>
              <w:t>Surgeries</w:t>
            </w:r>
            <w:r>
              <w:t>: surgery in preceding one year; number of surgeries, types of surgeries; date of surgeries</w:t>
            </w:r>
          </w:p>
        </w:tc>
      </w:tr>
      <w:tr w:rsidR="005F593D" w14:paraId="2E1595B9" w14:textId="77777777" w:rsidTr="00B97913">
        <w:tc>
          <w:tcPr>
            <w:tcW w:w="9016" w:type="dxa"/>
          </w:tcPr>
          <w:p w14:paraId="113B616F" w14:textId="77777777" w:rsidR="005F593D" w:rsidRDefault="005F593D" w:rsidP="00B97913">
            <w:r w:rsidRPr="00F37C03">
              <w:rPr>
                <w:i/>
              </w:rPr>
              <w:t>Multi-drug resistant organisms</w:t>
            </w:r>
            <w:r>
              <w:t xml:space="preserve"> (MDRO) in the past one year: Methicillin-resistant </w:t>
            </w:r>
            <w:r w:rsidRPr="00F37C03">
              <w:rPr>
                <w:i/>
              </w:rPr>
              <w:t>Staphylococcus aureus</w:t>
            </w:r>
            <w:r>
              <w:t xml:space="preserve"> (MRSA), Vancomycin-resistant </w:t>
            </w:r>
            <w:r w:rsidRPr="00F37C03">
              <w:rPr>
                <w:i/>
              </w:rPr>
              <w:t>Enterococci</w:t>
            </w:r>
            <w:r>
              <w:t xml:space="preserve"> (VRE), carbapenem-resistant </w:t>
            </w:r>
            <w:proofErr w:type="spellStart"/>
            <w:r>
              <w:t>enterobacterales</w:t>
            </w:r>
            <w:proofErr w:type="spellEnd"/>
            <w:r>
              <w:t xml:space="preserve"> (CRE), carbapenem-resistant </w:t>
            </w:r>
            <w:r w:rsidRPr="00F37C03">
              <w:rPr>
                <w:i/>
              </w:rPr>
              <w:t>Acinetobacter baumannii</w:t>
            </w:r>
            <w:r>
              <w:t xml:space="preserve"> (CR-AB), carbapenem-resistant </w:t>
            </w:r>
            <w:r w:rsidRPr="00F37C03">
              <w:rPr>
                <w:i/>
              </w:rPr>
              <w:t>Pseudomonas aeruginosa</w:t>
            </w:r>
            <w:r>
              <w:t xml:space="preserve"> (CR-PA)</w:t>
            </w:r>
          </w:p>
        </w:tc>
      </w:tr>
      <w:tr w:rsidR="005F593D" w14:paraId="46D34A91" w14:textId="77777777" w:rsidTr="00B97913">
        <w:tc>
          <w:tcPr>
            <w:tcW w:w="9016" w:type="dxa"/>
          </w:tcPr>
          <w:p w14:paraId="0D1DAF1B" w14:textId="77777777" w:rsidR="005F593D" w:rsidRDefault="005F593D" w:rsidP="00B97913">
            <w:r w:rsidRPr="00576640">
              <w:rPr>
                <w:i/>
              </w:rPr>
              <w:t>Time at risk</w:t>
            </w:r>
            <w:r>
              <w:t>: days from admission to isolation of CRE</w:t>
            </w:r>
          </w:p>
        </w:tc>
      </w:tr>
      <w:tr w:rsidR="005F593D" w14:paraId="68A27273" w14:textId="77777777" w:rsidTr="00B97913">
        <w:tc>
          <w:tcPr>
            <w:tcW w:w="9016" w:type="dxa"/>
          </w:tcPr>
          <w:p w14:paraId="32E07983" w14:textId="77777777" w:rsidR="005F593D" w:rsidRDefault="005F593D" w:rsidP="00B97913">
            <w:r w:rsidRPr="00433016">
              <w:rPr>
                <w:i/>
              </w:rPr>
              <w:t>Place of identification of CRE</w:t>
            </w:r>
            <w:r>
              <w:t>: Inpatient services (general ward); inpatient services (ICU); outpatient services</w:t>
            </w:r>
          </w:p>
        </w:tc>
      </w:tr>
      <w:tr w:rsidR="005F593D" w14:paraId="13DF344B" w14:textId="77777777" w:rsidTr="00B97913">
        <w:tc>
          <w:tcPr>
            <w:tcW w:w="9016" w:type="dxa"/>
          </w:tcPr>
          <w:p w14:paraId="3B0D9A24" w14:textId="77777777" w:rsidR="005F593D" w:rsidRDefault="005F593D" w:rsidP="00B97913">
            <w:r w:rsidRPr="00433016">
              <w:rPr>
                <w:i/>
              </w:rPr>
              <w:t xml:space="preserve">Devices during time at risk </w:t>
            </w:r>
            <w:r>
              <w:t>with date of insertion: indwelling urinary catheter (IDC); central venous line (CVL); nasogastric tube (NGT)</w:t>
            </w:r>
          </w:p>
        </w:tc>
      </w:tr>
      <w:tr w:rsidR="005F593D" w14:paraId="3CCE5F60" w14:textId="77777777" w:rsidTr="00B97913">
        <w:tc>
          <w:tcPr>
            <w:tcW w:w="9016" w:type="dxa"/>
          </w:tcPr>
          <w:p w14:paraId="74E5D338" w14:textId="77777777" w:rsidR="005F593D" w:rsidRDefault="005F593D" w:rsidP="00B97913">
            <w:r>
              <w:t>Antibiotic exposure in the preceding 30 days (name, start date, and stop date):</w:t>
            </w:r>
          </w:p>
          <w:p w14:paraId="2FE51177" w14:textId="77777777" w:rsidR="005F593D" w:rsidRDefault="005F593D" w:rsidP="00B97913">
            <w:r w:rsidRPr="00B37950">
              <w:rPr>
                <w:i/>
              </w:rPr>
              <w:t>Carbapenems</w:t>
            </w:r>
            <w:r>
              <w:t xml:space="preserve">: meropenem, imipenem, ertapenem, </w:t>
            </w:r>
            <w:proofErr w:type="spellStart"/>
            <w:r>
              <w:t>doripenem</w:t>
            </w:r>
            <w:proofErr w:type="spellEnd"/>
          </w:p>
          <w:p w14:paraId="01DBE178" w14:textId="77777777" w:rsidR="005F593D" w:rsidRDefault="005F593D" w:rsidP="00B97913">
            <w:r w:rsidRPr="00B37950">
              <w:rPr>
                <w:i/>
              </w:rPr>
              <w:t>Cephalosporins</w:t>
            </w:r>
            <w:r>
              <w:t>: ceftriaxone, cefepime, ceftazidime</w:t>
            </w:r>
          </w:p>
          <w:p w14:paraId="6B6566E6" w14:textId="77777777" w:rsidR="005F593D" w:rsidRDefault="005F593D" w:rsidP="00B97913">
            <w:r w:rsidRPr="00B37950">
              <w:rPr>
                <w:i/>
              </w:rPr>
              <w:t xml:space="preserve">Extended spectrum </w:t>
            </w:r>
            <w:proofErr w:type="spellStart"/>
            <w:r w:rsidRPr="00B37950">
              <w:rPr>
                <w:i/>
              </w:rPr>
              <w:t>penicillins</w:t>
            </w:r>
            <w:proofErr w:type="spellEnd"/>
            <w:r>
              <w:t>: piperacillin-tazobactam, amoxicillin-clavulanate</w:t>
            </w:r>
          </w:p>
          <w:p w14:paraId="2C296923" w14:textId="77777777" w:rsidR="005F593D" w:rsidRDefault="005F593D" w:rsidP="00B97913">
            <w:r w:rsidRPr="00B37950">
              <w:rPr>
                <w:i/>
              </w:rPr>
              <w:t>Fluoroquinolones</w:t>
            </w:r>
            <w:r>
              <w:t>: ciprofloxacin, levofloxacin, moxifloxacin</w:t>
            </w:r>
          </w:p>
          <w:p w14:paraId="4BB33D8E" w14:textId="77777777" w:rsidR="005F593D" w:rsidRDefault="005F593D" w:rsidP="00B97913">
            <w:r w:rsidRPr="00B37950">
              <w:rPr>
                <w:i/>
              </w:rPr>
              <w:t>Aminoglycosides</w:t>
            </w:r>
            <w:r>
              <w:t>: gentamycin. Amikacin</w:t>
            </w:r>
          </w:p>
          <w:p w14:paraId="364D4242" w14:textId="77777777" w:rsidR="005F593D" w:rsidRDefault="005F593D" w:rsidP="00B97913">
            <w:r w:rsidRPr="00B37950">
              <w:rPr>
                <w:i/>
              </w:rPr>
              <w:t>Macrolides</w:t>
            </w:r>
            <w:r>
              <w:t>: erythromycin, azithromycin, clarithromycin</w:t>
            </w:r>
          </w:p>
          <w:p w14:paraId="4CF3B75E" w14:textId="77777777" w:rsidR="005F593D" w:rsidRDefault="005F593D" w:rsidP="00B97913">
            <w:r w:rsidRPr="00B37950">
              <w:rPr>
                <w:i/>
              </w:rPr>
              <w:t>Other antibiotics:</w:t>
            </w:r>
            <w:r>
              <w:t xml:space="preserve"> vancomycin, tigecycline, colistin, co-trimoxazole, linezolid, daptomycin, teicoplanin, </w:t>
            </w:r>
            <w:proofErr w:type="spellStart"/>
            <w:r>
              <w:t>fosfomycin</w:t>
            </w:r>
            <w:proofErr w:type="spellEnd"/>
          </w:p>
        </w:tc>
      </w:tr>
      <w:tr w:rsidR="005F593D" w14:paraId="78043976" w14:textId="77777777" w:rsidTr="00B97913">
        <w:tc>
          <w:tcPr>
            <w:tcW w:w="9016" w:type="dxa"/>
          </w:tcPr>
          <w:p w14:paraId="542DB1A0" w14:textId="77777777" w:rsidR="005F593D" w:rsidRDefault="005F593D" w:rsidP="00B97913">
            <w:r w:rsidRPr="00B37950">
              <w:rPr>
                <w:i/>
              </w:rPr>
              <w:t>Comorbidities:</w:t>
            </w:r>
            <w:r>
              <w:t xml:space="preserve"> tuberculosis, cardiovascular disease; cerebrovascular disease; dementia; chronic pulmonary diseases; chronic liver diseases; diabetes mellitis; chronic kidney diseases; solid tumours; haematological malignancies (</w:t>
            </w:r>
            <w:proofErr w:type="spellStart"/>
            <w:r>
              <w:t>leukaemias</w:t>
            </w:r>
            <w:proofErr w:type="spellEnd"/>
            <w:r>
              <w:t xml:space="preserve"> and lymphomas)</w:t>
            </w:r>
          </w:p>
        </w:tc>
      </w:tr>
      <w:tr w:rsidR="005F593D" w14:paraId="64A30C21" w14:textId="77777777" w:rsidTr="00B97913">
        <w:tc>
          <w:tcPr>
            <w:tcW w:w="9016" w:type="dxa"/>
          </w:tcPr>
          <w:p w14:paraId="551D6B1D" w14:textId="77777777" w:rsidR="005F593D" w:rsidRDefault="005F593D" w:rsidP="00B97913">
            <w:r w:rsidRPr="00B37950">
              <w:rPr>
                <w:i/>
              </w:rPr>
              <w:t>Severity Score:</w:t>
            </w:r>
            <w:r>
              <w:t xml:space="preserve"> </w:t>
            </w:r>
            <w:proofErr w:type="gramStart"/>
            <w:r>
              <w:t>age-adjusted</w:t>
            </w:r>
            <w:proofErr w:type="gramEnd"/>
            <w:r>
              <w:t xml:space="preserve"> </w:t>
            </w:r>
            <w:proofErr w:type="spellStart"/>
            <w:r>
              <w:t>Charlson</w:t>
            </w:r>
            <w:proofErr w:type="spellEnd"/>
            <w:r>
              <w:t xml:space="preserve"> comorbidity index score</w:t>
            </w:r>
          </w:p>
        </w:tc>
      </w:tr>
      <w:tr w:rsidR="005F593D" w14:paraId="6D101CE6" w14:textId="77777777" w:rsidTr="00DD35FD">
        <w:tc>
          <w:tcPr>
            <w:tcW w:w="9016" w:type="dxa"/>
            <w:shd w:val="clear" w:color="auto" w:fill="D9E2F3" w:themeFill="accent1" w:themeFillTint="33"/>
          </w:tcPr>
          <w:p w14:paraId="5E152A99" w14:textId="77777777" w:rsidR="005F593D" w:rsidRPr="00B37950" w:rsidRDefault="005F593D" w:rsidP="00B97913">
            <w:pPr>
              <w:rPr>
                <w:b/>
              </w:rPr>
            </w:pPr>
            <w:r w:rsidRPr="00B37950">
              <w:rPr>
                <w:b/>
              </w:rPr>
              <w:t>Outcome variables</w:t>
            </w:r>
          </w:p>
        </w:tc>
      </w:tr>
      <w:tr w:rsidR="005F593D" w14:paraId="71783A64" w14:textId="77777777" w:rsidTr="00B97913">
        <w:tc>
          <w:tcPr>
            <w:tcW w:w="9016" w:type="dxa"/>
          </w:tcPr>
          <w:p w14:paraId="1E31A449" w14:textId="77777777" w:rsidR="005F593D" w:rsidRDefault="005F593D" w:rsidP="00B97913">
            <w:r>
              <w:t>Length of hospitalisation and in-hospital mortality</w:t>
            </w:r>
          </w:p>
        </w:tc>
      </w:tr>
      <w:tr w:rsidR="005F593D" w14:paraId="399E03BE" w14:textId="77777777" w:rsidTr="00B97913">
        <w:tc>
          <w:tcPr>
            <w:tcW w:w="9016" w:type="dxa"/>
          </w:tcPr>
          <w:p w14:paraId="2C64FF2C" w14:textId="77777777" w:rsidR="005F593D" w:rsidRDefault="005F593D" w:rsidP="00B97913">
            <w:r w:rsidRPr="00B37950">
              <w:rPr>
                <w:i/>
              </w:rPr>
              <w:t>30-days follow-up status</w:t>
            </w:r>
            <w:r>
              <w:t>: alive without re-admission, alive with re-admission, died</w:t>
            </w:r>
          </w:p>
        </w:tc>
      </w:tr>
    </w:tbl>
    <w:p w14:paraId="18804385" w14:textId="77777777" w:rsidR="005F593D" w:rsidRDefault="005F593D" w:rsidP="00AD0F3B">
      <w:pPr>
        <w:jc w:val="both"/>
        <w:rPr>
          <w:lang w:val="en-US"/>
        </w:rPr>
      </w:pPr>
    </w:p>
    <w:p w14:paraId="21B21E6F" w14:textId="7699C10F" w:rsidR="009770D3" w:rsidRPr="009770D3" w:rsidRDefault="009770D3" w:rsidP="009770D3">
      <w:pPr>
        <w:jc w:val="both"/>
        <w:rPr>
          <w:i/>
          <w:iCs/>
          <w:lang w:val="en-US"/>
        </w:rPr>
      </w:pPr>
      <w:r w:rsidRPr="009770D3">
        <w:rPr>
          <w:i/>
          <w:iCs/>
          <w:lang w:val="en-US"/>
        </w:rPr>
        <w:t>Bacterial isolates</w:t>
      </w:r>
      <w:r w:rsidR="00E87F8D">
        <w:rPr>
          <w:i/>
          <w:iCs/>
          <w:lang w:val="en-US"/>
        </w:rPr>
        <w:t xml:space="preserve"> and whole genome sequencing</w:t>
      </w:r>
    </w:p>
    <w:p w14:paraId="2B1CC359" w14:textId="49CFEE59" w:rsidR="009770D3" w:rsidRPr="009770D3" w:rsidRDefault="009770D3" w:rsidP="009770D3">
      <w:pPr>
        <w:jc w:val="both"/>
        <w:rPr>
          <w:lang w:val="en-US"/>
        </w:rPr>
      </w:pPr>
      <w:r w:rsidRPr="009770D3">
        <w:rPr>
          <w:lang w:val="en-US"/>
        </w:rPr>
        <w:t xml:space="preserve">Clinical isolates of Enterobacterales </w:t>
      </w:r>
      <w:r w:rsidR="00076979">
        <w:rPr>
          <w:lang w:val="en-US"/>
        </w:rPr>
        <w:t xml:space="preserve">were </w:t>
      </w:r>
      <w:r w:rsidRPr="009770D3">
        <w:rPr>
          <w:lang w:val="en-US"/>
        </w:rPr>
        <w:t xml:space="preserve">cultured from blood, tracheal aspirates or bronchi-alveolar lavage, urine in catheterized patients, tissue, </w:t>
      </w:r>
      <w:proofErr w:type="gramStart"/>
      <w:r w:rsidRPr="009770D3">
        <w:rPr>
          <w:lang w:val="en-US"/>
        </w:rPr>
        <w:t>pus</w:t>
      </w:r>
      <w:proofErr w:type="gramEnd"/>
      <w:r w:rsidRPr="009770D3">
        <w:rPr>
          <w:lang w:val="en-US"/>
        </w:rPr>
        <w:t xml:space="preserve"> and fluid from sterile sites including complicated intra-abdominal infections</w:t>
      </w:r>
      <w:r w:rsidR="00621E1D">
        <w:rPr>
          <w:lang w:val="en-US"/>
        </w:rPr>
        <w:t xml:space="preserve">. Isolates </w:t>
      </w:r>
      <w:r w:rsidR="003D2F69">
        <w:rPr>
          <w:lang w:val="en-US"/>
        </w:rPr>
        <w:t>were included</w:t>
      </w:r>
      <w:r w:rsidRPr="009770D3">
        <w:rPr>
          <w:lang w:val="en-US"/>
        </w:rPr>
        <w:t xml:space="preserve"> if non-susceptible to any carbapenem (ertapenem MIC &lt;/= to 0.5 mg/</w:t>
      </w:r>
      <w:proofErr w:type="gramStart"/>
      <w:r w:rsidRPr="009770D3">
        <w:rPr>
          <w:lang w:val="en-US"/>
        </w:rPr>
        <w:t>L;</w:t>
      </w:r>
      <w:proofErr w:type="gramEnd"/>
      <w:r w:rsidRPr="009770D3">
        <w:rPr>
          <w:lang w:val="en-US"/>
        </w:rPr>
        <w:t xml:space="preserve"> meropenem, imipenem MICs &lt;/=1 mg/L) by routine phenotypic susceptibility tests (</w:t>
      </w:r>
      <w:proofErr w:type="spellStart"/>
      <w:r w:rsidRPr="009770D3">
        <w:rPr>
          <w:lang w:val="en-US"/>
        </w:rPr>
        <w:t>Vitek</w:t>
      </w:r>
      <w:proofErr w:type="spellEnd"/>
      <w:r w:rsidRPr="009770D3">
        <w:rPr>
          <w:lang w:val="en-US"/>
        </w:rPr>
        <w:t xml:space="preserve"> and/or E-tests). Screening cultures (gastro-intestinal tract colonization) </w:t>
      </w:r>
      <w:r w:rsidR="008939A1">
        <w:rPr>
          <w:lang w:val="en-US"/>
        </w:rPr>
        <w:t>were excluded</w:t>
      </w:r>
      <w:r w:rsidRPr="009770D3">
        <w:rPr>
          <w:lang w:val="en-US"/>
        </w:rPr>
        <w:t xml:space="preserve">.   </w:t>
      </w:r>
    </w:p>
    <w:p w14:paraId="653DE2F4" w14:textId="3DCA3DB8" w:rsidR="009770D3" w:rsidRPr="009770D3" w:rsidRDefault="009770D3" w:rsidP="009770D3">
      <w:pPr>
        <w:jc w:val="both"/>
        <w:rPr>
          <w:lang w:val="en-US"/>
        </w:rPr>
      </w:pPr>
      <w:r w:rsidRPr="009770D3">
        <w:rPr>
          <w:lang w:val="en-US"/>
        </w:rPr>
        <w:lastRenderedPageBreak/>
        <w:t xml:space="preserve">All phenotypically confirmed carbapenem </w:t>
      </w:r>
      <w:r w:rsidR="00661264">
        <w:rPr>
          <w:lang w:val="en-US"/>
        </w:rPr>
        <w:t>non-susceptible</w:t>
      </w:r>
      <w:r w:rsidRPr="009770D3">
        <w:rPr>
          <w:lang w:val="en-US"/>
        </w:rPr>
        <w:t xml:space="preserve"> bacterial isolates collected during the study period </w:t>
      </w:r>
      <w:r w:rsidR="003D2F69">
        <w:rPr>
          <w:lang w:val="en-US"/>
        </w:rPr>
        <w:t>were</w:t>
      </w:r>
      <w:r w:rsidRPr="009770D3">
        <w:rPr>
          <w:lang w:val="en-US"/>
        </w:rPr>
        <w:t xml:space="preserve"> submitted for confirmatory PCR, to identify the presence of a carbapenemase (CPE) or otherwise </w:t>
      </w:r>
      <w:r w:rsidR="006A600D" w:rsidRPr="006A600D">
        <w:rPr>
          <w:lang w:val="en-US"/>
        </w:rPr>
        <w:t>non</w:t>
      </w:r>
      <w:r w:rsidR="006A600D">
        <w:rPr>
          <w:lang w:val="en-US"/>
        </w:rPr>
        <w:t>-</w:t>
      </w:r>
      <w:r w:rsidR="006A600D" w:rsidRPr="006A600D">
        <w:rPr>
          <w:lang w:val="en-US"/>
        </w:rPr>
        <w:t xml:space="preserve">carbapenemase-producing carbapenem-resistant </w:t>
      </w:r>
      <w:r w:rsidR="008147AD">
        <w:rPr>
          <w:lang w:val="en-US"/>
        </w:rPr>
        <w:t xml:space="preserve">Enterobacterales </w:t>
      </w:r>
      <w:r w:rsidRPr="009770D3">
        <w:rPr>
          <w:lang w:val="en-US"/>
        </w:rPr>
        <w:t xml:space="preserve">(NCPE). </w:t>
      </w:r>
    </w:p>
    <w:p w14:paraId="5B2BCE6E" w14:textId="4EF4C3D9" w:rsidR="00086D70" w:rsidRDefault="00DE255B" w:rsidP="00B92E0B">
      <w:pPr>
        <w:jc w:val="both"/>
        <w:rPr>
          <w:lang w:val="en-US"/>
        </w:rPr>
      </w:pPr>
      <w:r>
        <w:rPr>
          <w:lang w:val="en-US"/>
        </w:rPr>
        <w:t>P</w:t>
      </w:r>
      <w:r w:rsidRPr="009770D3">
        <w:rPr>
          <w:lang w:val="en-US"/>
        </w:rPr>
        <w:t xml:space="preserve">henotypically confirmed carbapenem </w:t>
      </w:r>
      <w:r w:rsidR="00661264">
        <w:rPr>
          <w:lang w:val="en-US"/>
        </w:rPr>
        <w:t>non-susceptible</w:t>
      </w:r>
      <w:r w:rsidR="00661264" w:rsidRPr="009770D3">
        <w:rPr>
          <w:lang w:val="en-US"/>
        </w:rPr>
        <w:t xml:space="preserve"> </w:t>
      </w:r>
      <w:r w:rsidRPr="009770D3">
        <w:rPr>
          <w:lang w:val="en-US"/>
        </w:rPr>
        <w:t xml:space="preserve">bacterial </w:t>
      </w:r>
      <w:r w:rsidR="002009F0">
        <w:rPr>
          <w:lang w:val="en-US"/>
        </w:rPr>
        <w:t>i</w:t>
      </w:r>
      <w:r w:rsidR="00120599">
        <w:rPr>
          <w:lang w:val="en-US"/>
        </w:rPr>
        <w:t xml:space="preserve">solates submitted for whole genome sequencing (WGS) were </w:t>
      </w:r>
      <w:r w:rsidR="00CD04B9">
        <w:rPr>
          <w:lang w:val="en-US"/>
        </w:rPr>
        <w:t>stored at -80</w:t>
      </w:r>
      <w:r w:rsidR="00CD04B9">
        <w:rPr>
          <w:rFonts w:cstheme="minorHAnsi"/>
          <w:lang w:val="en-US"/>
        </w:rPr>
        <w:t>ᵒ</w:t>
      </w:r>
      <w:r w:rsidR="00CD04B9">
        <w:rPr>
          <w:lang w:val="en-US"/>
        </w:rPr>
        <w:t xml:space="preserve">C </w:t>
      </w:r>
      <w:r w:rsidR="00A14F52">
        <w:rPr>
          <w:lang w:val="en-US"/>
        </w:rPr>
        <w:t>until</w:t>
      </w:r>
      <w:r w:rsidR="00CD04B9">
        <w:rPr>
          <w:lang w:val="en-US"/>
        </w:rPr>
        <w:t xml:space="preserve"> </w:t>
      </w:r>
      <w:r w:rsidR="00A14F52">
        <w:rPr>
          <w:lang w:val="en-US"/>
        </w:rPr>
        <w:t>cultivated</w:t>
      </w:r>
      <w:r w:rsidR="00120599">
        <w:rPr>
          <w:lang w:val="en-US"/>
        </w:rPr>
        <w:t xml:space="preserve"> </w:t>
      </w:r>
      <w:r w:rsidR="00A14F52">
        <w:rPr>
          <w:lang w:val="en-US"/>
        </w:rPr>
        <w:t>overnight</w:t>
      </w:r>
      <w:r w:rsidR="009A3ADE">
        <w:rPr>
          <w:lang w:val="en-US"/>
        </w:rPr>
        <w:t xml:space="preserve"> at 35</w:t>
      </w:r>
      <w:r w:rsidR="009A3ADE">
        <w:rPr>
          <w:rFonts w:cstheme="minorHAnsi"/>
          <w:lang w:val="en-US"/>
        </w:rPr>
        <w:t>ᵒ</w:t>
      </w:r>
      <w:r w:rsidR="009A3ADE">
        <w:rPr>
          <w:lang w:val="en-US"/>
        </w:rPr>
        <w:t xml:space="preserve">C </w:t>
      </w:r>
      <w:r w:rsidR="00DF24E8">
        <w:rPr>
          <w:lang w:val="en-US"/>
        </w:rPr>
        <w:t>using</w:t>
      </w:r>
      <w:r w:rsidR="00414290">
        <w:rPr>
          <w:lang w:val="en-US"/>
        </w:rPr>
        <w:t xml:space="preserve"> </w:t>
      </w:r>
      <w:r w:rsidR="00585F27">
        <w:rPr>
          <w:lang w:val="en-US"/>
        </w:rPr>
        <w:t>2% blood agar plates</w:t>
      </w:r>
      <w:r w:rsidR="00ED7C19">
        <w:rPr>
          <w:lang w:val="en-US"/>
        </w:rPr>
        <w:t xml:space="preserve">. </w:t>
      </w:r>
      <w:r w:rsidR="00585F27">
        <w:rPr>
          <w:lang w:val="en-US"/>
        </w:rPr>
        <w:t xml:space="preserve"> </w:t>
      </w:r>
      <w:r w:rsidR="00DF24E8">
        <w:rPr>
          <w:lang w:val="en-US"/>
        </w:rPr>
        <w:t xml:space="preserve">Pure subcultures </w:t>
      </w:r>
      <w:r w:rsidR="00A60224">
        <w:rPr>
          <w:lang w:val="en-US"/>
        </w:rPr>
        <w:t xml:space="preserve">were processed for nucleic acid </w:t>
      </w:r>
      <w:r w:rsidR="00423C8C">
        <w:rPr>
          <w:lang w:val="en-US"/>
        </w:rPr>
        <w:t>usin</w:t>
      </w:r>
      <w:r w:rsidR="00DF24E8">
        <w:rPr>
          <w:lang w:val="en-US"/>
        </w:rPr>
        <w:t>g</w:t>
      </w:r>
      <w:r w:rsidR="009770D3" w:rsidRPr="009770D3">
        <w:rPr>
          <w:lang w:val="en-US"/>
        </w:rPr>
        <w:t xml:space="preserve"> the Quick-DNA Fungal/Bacterial Miniprep Kit (</w:t>
      </w:r>
      <w:r w:rsidR="002C1AA2">
        <w:rPr>
          <w:lang w:val="en-US"/>
        </w:rPr>
        <w:t xml:space="preserve">catalogue </w:t>
      </w:r>
      <w:r w:rsidR="000127DD">
        <w:rPr>
          <w:lang w:val="en-US"/>
        </w:rPr>
        <w:t xml:space="preserve">no. </w:t>
      </w:r>
      <w:r w:rsidR="002C1AA2">
        <w:rPr>
          <w:lang w:val="en-US"/>
        </w:rPr>
        <w:t xml:space="preserve">D6005, </w:t>
      </w:r>
      <w:proofErr w:type="spellStart"/>
      <w:r w:rsidR="009770D3" w:rsidRPr="009770D3">
        <w:rPr>
          <w:lang w:val="en-US"/>
        </w:rPr>
        <w:t>Zymo</w:t>
      </w:r>
      <w:proofErr w:type="spellEnd"/>
      <w:r w:rsidR="009F4A13">
        <w:rPr>
          <w:lang w:val="en-US"/>
        </w:rPr>
        <w:t xml:space="preserve"> </w:t>
      </w:r>
      <w:r w:rsidR="002C1AA2">
        <w:rPr>
          <w:lang w:val="en-US"/>
        </w:rPr>
        <w:t>R</w:t>
      </w:r>
      <w:r w:rsidR="009770D3" w:rsidRPr="009770D3">
        <w:rPr>
          <w:lang w:val="en-US"/>
        </w:rPr>
        <w:t>esearch</w:t>
      </w:r>
      <w:r w:rsidR="009F4A13">
        <w:rPr>
          <w:lang w:val="en-US"/>
        </w:rPr>
        <w:t xml:space="preserve"> Corp., Irvine, </w:t>
      </w:r>
      <w:r w:rsidR="008532F0">
        <w:rPr>
          <w:lang w:val="en-US"/>
        </w:rPr>
        <w:t>CA, USA</w:t>
      </w:r>
      <w:r w:rsidR="009770D3" w:rsidRPr="009770D3">
        <w:rPr>
          <w:lang w:val="en-US"/>
        </w:rPr>
        <w:t>)</w:t>
      </w:r>
      <w:r w:rsidR="008532F0">
        <w:rPr>
          <w:lang w:val="en-US"/>
        </w:rPr>
        <w:t xml:space="preserve">. </w:t>
      </w:r>
      <w:r w:rsidR="00084593">
        <w:rPr>
          <w:lang w:val="en-US"/>
        </w:rPr>
        <w:t xml:space="preserve">The </w:t>
      </w:r>
      <w:proofErr w:type="spellStart"/>
      <w:r w:rsidR="00084593" w:rsidRPr="00084593">
        <w:rPr>
          <w:lang w:val="en-US"/>
        </w:rPr>
        <w:t>NanoDrop</w:t>
      </w:r>
      <w:proofErr w:type="spellEnd"/>
      <w:r w:rsidR="00084593" w:rsidRPr="00084593">
        <w:rPr>
          <w:lang w:val="en-US"/>
        </w:rPr>
        <w:t>® ND-1000 Spectrophotometer</w:t>
      </w:r>
      <w:r w:rsidR="009770D3" w:rsidRPr="009770D3">
        <w:rPr>
          <w:lang w:val="en-US"/>
        </w:rPr>
        <w:t xml:space="preserve"> </w:t>
      </w:r>
      <w:r w:rsidR="00084593">
        <w:rPr>
          <w:lang w:val="en-US"/>
        </w:rPr>
        <w:t xml:space="preserve">was used to </w:t>
      </w:r>
      <w:r w:rsidR="00086D70">
        <w:rPr>
          <w:lang w:val="en-US"/>
        </w:rPr>
        <w:t>assess nucleic acid</w:t>
      </w:r>
      <w:r w:rsidR="009770D3" w:rsidRPr="009770D3">
        <w:rPr>
          <w:lang w:val="en-US"/>
        </w:rPr>
        <w:t xml:space="preserve"> quantity and quality. </w:t>
      </w:r>
      <w:r w:rsidR="00A628DB">
        <w:rPr>
          <w:lang w:val="en-US"/>
        </w:rPr>
        <w:t>A</w:t>
      </w:r>
      <w:r w:rsidR="00C03199">
        <w:rPr>
          <w:lang w:val="en-US"/>
        </w:rPr>
        <w:t xml:space="preserve"> maximum of 400</w:t>
      </w:r>
      <w:r w:rsidR="00E073B8">
        <w:rPr>
          <w:lang w:val="en-US"/>
        </w:rPr>
        <w:t xml:space="preserve"> </w:t>
      </w:r>
      <w:r w:rsidR="00C03199">
        <w:rPr>
          <w:lang w:val="en-US"/>
        </w:rPr>
        <w:t xml:space="preserve">ng </w:t>
      </w:r>
      <w:r w:rsidR="00D3395B">
        <w:rPr>
          <w:lang w:val="en-US"/>
        </w:rPr>
        <w:t xml:space="preserve">of nucleic acid per well </w:t>
      </w:r>
      <w:r w:rsidR="00A628DB">
        <w:rPr>
          <w:lang w:val="en-US"/>
        </w:rPr>
        <w:t xml:space="preserve">was loaded </w:t>
      </w:r>
      <w:r w:rsidR="00D3395B">
        <w:rPr>
          <w:lang w:val="en-US"/>
        </w:rPr>
        <w:t xml:space="preserve">onto a 1.5% </w:t>
      </w:r>
      <w:r w:rsidR="00B92E0B" w:rsidRPr="00B92E0B">
        <w:rPr>
          <w:lang w:val="en-US"/>
        </w:rPr>
        <w:t xml:space="preserve">agarose gel </w:t>
      </w:r>
      <w:r w:rsidR="00D3395B">
        <w:rPr>
          <w:lang w:val="en-US"/>
        </w:rPr>
        <w:t xml:space="preserve">and </w:t>
      </w:r>
      <w:r w:rsidR="00B92E0B" w:rsidRPr="00B92E0B">
        <w:rPr>
          <w:lang w:val="en-US"/>
        </w:rPr>
        <w:t xml:space="preserve">electrophoresis </w:t>
      </w:r>
      <w:r w:rsidR="00BE16BA">
        <w:rPr>
          <w:lang w:val="en-US"/>
        </w:rPr>
        <w:t xml:space="preserve">performed </w:t>
      </w:r>
      <w:r w:rsidR="00D3395B">
        <w:rPr>
          <w:lang w:val="en-US"/>
        </w:rPr>
        <w:t xml:space="preserve">at 100 </w:t>
      </w:r>
      <w:r w:rsidR="00663CF2">
        <w:rPr>
          <w:lang w:val="en-US"/>
        </w:rPr>
        <w:t>V</w:t>
      </w:r>
      <w:r w:rsidR="00D3395B">
        <w:rPr>
          <w:lang w:val="en-US"/>
        </w:rPr>
        <w:t xml:space="preserve">olts for 1 hour </w:t>
      </w:r>
      <w:r w:rsidR="00663CF2">
        <w:rPr>
          <w:lang w:val="en-US"/>
        </w:rPr>
        <w:t>on</w:t>
      </w:r>
      <w:r w:rsidR="00B92E0B" w:rsidRPr="00B92E0B">
        <w:rPr>
          <w:lang w:val="en-US"/>
        </w:rPr>
        <w:t xml:space="preserve"> the </w:t>
      </w:r>
      <w:proofErr w:type="spellStart"/>
      <w:r w:rsidR="00B92E0B" w:rsidRPr="000127DD">
        <w:rPr>
          <w:highlight w:val="yellow"/>
          <w:lang w:val="en-US"/>
        </w:rPr>
        <w:t>GloMax</w:t>
      </w:r>
      <w:proofErr w:type="spellEnd"/>
      <w:r w:rsidR="00B92E0B" w:rsidRPr="000127DD">
        <w:rPr>
          <w:highlight w:val="yellow"/>
          <w:lang w:val="en-US"/>
        </w:rPr>
        <w:t>®-Multi Detection System (Promega Corporation, Madison, WI, USA)</w:t>
      </w:r>
      <w:r w:rsidR="00663CF2">
        <w:rPr>
          <w:lang w:val="en-US"/>
        </w:rPr>
        <w:t xml:space="preserve"> to </w:t>
      </w:r>
      <w:r w:rsidR="008B1C12">
        <w:rPr>
          <w:lang w:val="en-US"/>
        </w:rPr>
        <w:t>confirm nucleic acid quality.</w:t>
      </w:r>
      <w:r w:rsidR="00073560">
        <w:rPr>
          <w:lang w:val="en-US"/>
        </w:rPr>
        <w:t xml:space="preserve"> </w:t>
      </w:r>
      <w:r w:rsidR="001E04CE">
        <w:rPr>
          <w:lang w:val="en-US"/>
        </w:rPr>
        <w:t>Each nucleic acid</w:t>
      </w:r>
      <w:r w:rsidR="004B18C1">
        <w:rPr>
          <w:lang w:val="en-US"/>
        </w:rPr>
        <w:t xml:space="preserve"> extract</w:t>
      </w:r>
      <w:r w:rsidR="00073560">
        <w:rPr>
          <w:lang w:val="en-US"/>
        </w:rPr>
        <w:t xml:space="preserve"> </w:t>
      </w:r>
      <w:r w:rsidR="001E04CE">
        <w:rPr>
          <w:lang w:val="en-US"/>
        </w:rPr>
        <w:t xml:space="preserve">was diluted </w:t>
      </w:r>
      <w:r w:rsidR="00073560">
        <w:rPr>
          <w:lang w:val="en-US"/>
        </w:rPr>
        <w:t>to 300</w:t>
      </w:r>
      <w:r w:rsidR="00E073B8">
        <w:rPr>
          <w:lang w:val="en-US"/>
        </w:rPr>
        <w:t xml:space="preserve"> </w:t>
      </w:r>
      <w:r w:rsidR="00073560">
        <w:rPr>
          <w:lang w:val="en-US"/>
        </w:rPr>
        <w:t xml:space="preserve">ng in </w:t>
      </w:r>
      <w:r w:rsidR="00E073B8">
        <w:rPr>
          <w:lang w:val="en-US"/>
        </w:rPr>
        <w:t xml:space="preserve">a final volume of </w:t>
      </w:r>
      <w:r w:rsidR="003E4A43">
        <w:rPr>
          <w:lang w:val="en-US"/>
        </w:rPr>
        <w:t>30</w:t>
      </w:r>
      <w:r w:rsidR="00E073B8">
        <w:rPr>
          <w:lang w:val="en-US"/>
        </w:rPr>
        <w:t xml:space="preserve"> </w:t>
      </w:r>
      <w:r w:rsidR="003E4A43">
        <w:rPr>
          <w:rFonts w:cstheme="minorHAnsi"/>
          <w:lang w:val="en-US"/>
        </w:rPr>
        <w:t>μ</w:t>
      </w:r>
      <w:r w:rsidR="003E4A43">
        <w:rPr>
          <w:lang w:val="en-US"/>
        </w:rPr>
        <w:t xml:space="preserve">l </w:t>
      </w:r>
      <w:r w:rsidR="00E073B8">
        <w:rPr>
          <w:lang w:val="en-US"/>
        </w:rPr>
        <w:t xml:space="preserve">nuclease free water </w:t>
      </w:r>
      <w:r w:rsidR="004B18C1">
        <w:rPr>
          <w:lang w:val="en-US"/>
        </w:rPr>
        <w:t>(</w:t>
      </w:r>
      <w:r w:rsidR="004B18C1" w:rsidRPr="004B18C1">
        <w:rPr>
          <w:highlight w:val="yellow"/>
          <w:lang w:val="en-US"/>
        </w:rPr>
        <w:t>add manufacturer details</w:t>
      </w:r>
      <w:r w:rsidR="004B18C1">
        <w:rPr>
          <w:lang w:val="en-US"/>
        </w:rPr>
        <w:t>).</w:t>
      </w:r>
    </w:p>
    <w:p w14:paraId="61B14E0D" w14:textId="15DBC1EF" w:rsidR="00E37E56" w:rsidRDefault="009770D3" w:rsidP="00E30099">
      <w:pPr>
        <w:jc w:val="both"/>
        <w:rPr>
          <w:lang w:val="en-US"/>
        </w:rPr>
      </w:pPr>
      <w:r w:rsidRPr="009770D3">
        <w:rPr>
          <w:lang w:val="en-US"/>
        </w:rPr>
        <w:t xml:space="preserve">Library preparation </w:t>
      </w:r>
      <w:r w:rsidR="00E21E91">
        <w:rPr>
          <w:lang w:val="en-US"/>
        </w:rPr>
        <w:t xml:space="preserve">was performed using the </w:t>
      </w:r>
      <w:r w:rsidR="00144DA9" w:rsidRPr="00144DA9">
        <w:rPr>
          <w:lang w:val="en-US"/>
        </w:rPr>
        <w:t>Nextera™ DNA Flex Library Preparation Kit</w:t>
      </w:r>
      <w:r w:rsidR="00144DA9">
        <w:rPr>
          <w:lang w:val="en-US"/>
        </w:rPr>
        <w:t xml:space="preserve"> </w:t>
      </w:r>
      <w:r w:rsidRPr="009770D3">
        <w:rPr>
          <w:lang w:val="en-US"/>
        </w:rPr>
        <w:t>(</w:t>
      </w:r>
      <w:r w:rsidR="000127DD">
        <w:rPr>
          <w:lang w:val="en-US"/>
        </w:rPr>
        <w:t>c</w:t>
      </w:r>
      <w:r w:rsidR="009B07E4">
        <w:rPr>
          <w:lang w:val="en-US"/>
        </w:rPr>
        <w:t xml:space="preserve">atalogue </w:t>
      </w:r>
      <w:r w:rsidR="000127DD">
        <w:rPr>
          <w:lang w:val="en-US"/>
        </w:rPr>
        <w:t xml:space="preserve">no. </w:t>
      </w:r>
      <w:r w:rsidR="009B07E4" w:rsidRPr="009B07E4">
        <w:rPr>
          <w:lang w:val="en-US"/>
        </w:rPr>
        <w:t>20018704</w:t>
      </w:r>
      <w:r w:rsidR="009B07E4">
        <w:rPr>
          <w:lang w:val="en-US"/>
        </w:rPr>
        <w:t>, I</w:t>
      </w:r>
      <w:r w:rsidRPr="009770D3">
        <w:rPr>
          <w:lang w:val="en-US"/>
        </w:rPr>
        <w:t>llumina</w:t>
      </w:r>
      <w:r w:rsidR="009B07E4">
        <w:rPr>
          <w:lang w:val="en-US"/>
        </w:rPr>
        <w:t>, Inc.</w:t>
      </w:r>
      <w:r w:rsidR="0070535E">
        <w:rPr>
          <w:lang w:val="en-US"/>
        </w:rPr>
        <w:t>,</w:t>
      </w:r>
      <w:r w:rsidR="0070535E" w:rsidRPr="0070535E">
        <w:t xml:space="preserve"> </w:t>
      </w:r>
      <w:r w:rsidR="0070535E" w:rsidRPr="0070535E">
        <w:rPr>
          <w:lang w:val="en-US"/>
        </w:rPr>
        <w:t>San Diego, CA, USA</w:t>
      </w:r>
      <w:r w:rsidRPr="009770D3">
        <w:rPr>
          <w:lang w:val="en-US"/>
        </w:rPr>
        <w:t>)</w:t>
      </w:r>
      <w:r w:rsidR="00FF09A9">
        <w:rPr>
          <w:lang w:val="en-US"/>
        </w:rPr>
        <w:t xml:space="preserve"> </w:t>
      </w:r>
      <w:r w:rsidR="00B66C57">
        <w:rPr>
          <w:lang w:val="en-US"/>
        </w:rPr>
        <w:t xml:space="preserve">together with </w:t>
      </w:r>
      <w:r w:rsidR="00B66C57" w:rsidRPr="00144DA9">
        <w:rPr>
          <w:lang w:val="en-US"/>
        </w:rPr>
        <w:t xml:space="preserve">Nextera™ DNA </w:t>
      </w:r>
      <w:r w:rsidR="00B66C57">
        <w:rPr>
          <w:lang w:val="en-US"/>
        </w:rPr>
        <w:t>CD Indexes</w:t>
      </w:r>
      <w:r w:rsidR="001378E4">
        <w:rPr>
          <w:lang w:val="en-US"/>
        </w:rPr>
        <w:t>.</w:t>
      </w:r>
      <w:r w:rsidRPr="009770D3">
        <w:rPr>
          <w:lang w:val="en-US"/>
        </w:rPr>
        <w:t xml:space="preserve"> </w:t>
      </w:r>
      <w:r w:rsidR="009A2856">
        <w:rPr>
          <w:lang w:val="en-US"/>
        </w:rPr>
        <w:t xml:space="preserve">Library concentrations were confirmed using </w:t>
      </w:r>
      <w:r w:rsidR="004D248D">
        <w:rPr>
          <w:lang w:val="en-US"/>
        </w:rPr>
        <w:t xml:space="preserve">the </w:t>
      </w:r>
      <w:r w:rsidR="00E30099" w:rsidRPr="00E30099">
        <w:rPr>
          <w:lang w:val="en-US"/>
        </w:rPr>
        <w:t>Qubit® Fluorometer (Invitrogen, Life Technologies,</w:t>
      </w:r>
      <w:r w:rsidR="00E30099">
        <w:rPr>
          <w:lang w:val="en-US"/>
        </w:rPr>
        <w:t xml:space="preserve"> </w:t>
      </w:r>
      <w:r w:rsidR="00E30099" w:rsidRPr="00E30099">
        <w:rPr>
          <w:lang w:val="en-US"/>
        </w:rPr>
        <w:t xml:space="preserve">CA, USA) and Qubit™ dsDNA </w:t>
      </w:r>
      <w:r w:rsidR="00E30099">
        <w:rPr>
          <w:lang w:val="en-US"/>
        </w:rPr>
        <w:t>HS</w:t>
      </w:r>
      <w:r w:rsidR="00E30099" w:rsidRPr="00E30099">
        <w:rPr>
          <w:lang w:val="en-US"/>
        </w:rPr>
        <w:t xml:space="preserve"> Assay Kit</w:t>
      </w:r>
      <w:r w:rsidR="00E30099">
        <w:rPr>
          <w:lang w:val="en-US"/>
        </w:rPr>
        <w:t xml:space="preserve"> </w:t>
      </w:r>
      <w:r w:rsidR="00E30099" w:rsidRPr="00E30099">
        <w:rPr>
          <w:lang w:val="en-US"/>
        </w:rPr>
        <w:t xml:space="preserve">(catalogue no. </w:t>
      </w:r>
      <w:r w:rsidR="00FE1385" w:rsidRPr="00FE1385">
        <w:rPr>
          <w:lang w:val="en-US"/>
        </w:rPr>
        <w:t>Q33230</w:t>
      </w:r>
      <w:r w:rsidR="00E30099" w:rsidRPr="00E30099">
        <w:rPr>
          <w:lang w:val="en-US"/>
        </w:rPr>
        <w:t>, Invitrogen, Life Technologies,</w:t>
      </w:r>
      <w:r w:rsidR="00E30099">
        <w:rPr>
          <w:lang w:val="en-US"/>
        </w:rPr>
        <w:t xml:space="preserve"> </w:t>
      </w:r>
      <w:r w:rsidR="00E30099" w:rsidRPr="00E30099">
        <w:rPr>
          <w:lang w:val="en-US"/>
        </w:rPr>
        <w:t>CA, USA)</w:t>
      </w:r>
      <w:r w:rsidR="00E30099">
        <w:rPr>
          <w:lang w:val="en-US"/>
        </w:rPr>
        <w:t>.</w:t>
      </w:r>
      <w:r w:rsidRPr="009770D3">
        <w:rPr>
          <w:lang w:val="en-US"/>
        </w:rPr>
        <w:t xml:space="preserve"> </w:t>
      </w:r>
      <w:r w:rsidR="00F122EC">
        <w:rPr>
          <w:lang w:val="en-US"/>
        </w:rPr>
        <w:t>Fragment size</w:t>
      </w:r>
      <w:r w:rsidR="0059213D">
        <w:rPr>
          <w:lang w:val="en-US"/>
        </w:rPr>
        <w:t>s</w:t>
      </w:r>
      <w:r w:rsidR="00F122EC">
        <w:rPr>
          <w:lang w:val="en-US"/>
        </w:rPr>
        <w:t xml:space="preserve"> and concentration</w:t>
      </w:r>
      <w:r w:rsidR="0059213D">
        <w:rPr>
          <w:lang w:val="en-US"/>
        </w:rPr>
        <w:t>s</w:t>
      </w:r>
      <w:r w:rsidR="008C6C70">
        <w:rPr>
          <w:lang w:val="en-US"/>
        </w:rPr>
        <w:t xml:space="preserve"> were measured for </w:t>
      </w:r>
      <w:r w:rsidR="00254DB4">
        <w:rPr>
          <w:lang w:val="en-US"/>
        </w:rPr>
        <w:t xml:space="preserve">randomly selected libraries using </w:t>
      </w:r>
      <w:r w:rsidR="00F75B1A" w:rsidRPr="00F75B1A">
        <w:rPr>
          <w:lang w:val="en-US"/>
        </w:rPr>
        <w:t xml:space="preserve">D1000 </w:t>
      </w:r>
      <w:proofErr w:type="spellStart"/>
      <w:r w:rsidR="00F75B1A" w:rsidRPr="00F75B1A">
        <w:rPr>
          <w:lang w:val="en-US"/>
        </w:rPr>
        <w:t>ScreenTape</w:t>
      </w:r>
      <w:proofErr w:type="spellEnd"/>
      <w:r w:rsidR="00F75B1A" w:rsidRPr="00F75B1A">
        <w:rPr>
          <w:lang w:val="en-US"/>
        </w:rPr>
        <w:t xml:space="preserve"> Assay</w:t>
      </w:r>
      <w:r w:rsidR="0059213D">
        <w:rPr>
          <w:lang w:val="en-US"/>
        </w:rPr>
        <w:t xml:space="preserve"> </w:t>
      </w:r>
      <w:r w:rsidR="00F75B1A" w:rsidRPr="00F75B1A">
        <w:rPr>
          <w:lang w:val="en-US"/>
        </w:rPr>
        <w:t xml:space="preserve">for </w:t>
      </w:r>
      <w:proofErr w:type="spellStart"/>
      <w:r w:rsidR="00F75B1A" w:rsidRPr="00F75B1A">
        <w:rPr>
          <w:lang w:val="en-US"/>
        </w:rPr>
        <w:t>TapeStation</w:t>
      </w:r>
      <w:proofErr w:type="spellEnd"/>
      <w:r w:rsidR="00F75B1A" w:rsidRPr="00F75B1A">
        <w:rPr>
          <w:lang w:val="en-US"/>
        </w:rPr>
        <w:t xml:space="preserve"> Systems</w:t>
      </w:r>
      <w:r w:rsidR="0059213D" w:rsidRPr="0059213D">
        <w:t xml:space="preserve"> </w:t>
      </w:r>
      <w:r w:rsidR="0059213D" w:rsidRPr="0059213D">
        <w:rPr>
          <w:lang w:val="en-US"/>
        </w:rPr>
        <w:t>(Agilent Technologies, CA, USA)</w:t>
      </w:r>
      <w:r w:rsidRPr="009770D3">
        <w:rPr>
          <w:lang w:val="en-US"/>
        </w:rPr>
        <w:t>.</w:t>
      </w:r>
      <w:r w:rsidR="00AF2975">
        <w:rPr>
          <w:lang w:val="en-US"/>
        </w:rPr>
        <w:t xml:space="preserve"> </w:t>
      </w:r>
      <w:r w:rsidR="002F4CAB">
        <w:rPr>
          <w:lang w:val="en-US"/>
        </w:rPr>
        <w:t>Individual l</w:t>
      </w:r>
      <w:r w:rsidR="00AF2975">
        <w:rPr>
          <w:lang w:val="en-US"/>
        </w:rPr>
        <w:t>ibraries were pooled at 50</w:t>
      </w:r>
      <w:r w:rsidR="001969BF">
        <w:rPr>
          <w:lang w:val="en-US"/>
        </w:rPr>
        <w:t xml:space="preserve"> ng each.</w:t>
      </w:r>
    </w:p>
    <w:p w14:paraId="284856C6" w14:textId="6F095085" w:rsidR="00AB6F75" w:rsidRDefault="00AB6F75" w:rsidP="00E87F8D">
      <w:pPr>
        <w:jc w:val="both"/>
        <w:rPr>
          <w:lang w:val="en-US"/>
        </w:rPr>
      </w:pPr>
      <w:r>
        <w:rPr>
          <w:lang w:val="en-US"/>
        </w:rPr>
        <w:t xml:space="preserve">The pooled library was quantified using the </w:t>
      </w:r>
      <w:r w:rsidR="000E0F79" w:rsidRPr="00E30099">
        <w:rPr>
          <w:lang w:val="en-US"/>
        </w:rPr>
        <w:t xml:space="preserve">Qubit® Fluorometer and Qubit™ dsDNA </w:t>
      </w:r>
      <w:r w:rsidR="000E0F79">
        <w:rPr>
          <w:lang w:val="en-US"/>
        </w:rPr>
        <w:t>HS</w:t>
      </w:r>
      <w:r w:rsidR="000E0F79" w:rsidRPr="00E30099">
        <w:rPr>
          <w:lang w:val="en-US"/>
        </w:rPr>
        <w:t xml:space="preserve"> Assay </w:t>
      </w:r>
      <w:r w:rsidR="000127DD" w:rsidRPr="00E30099">
        <w:rPr>
          <w:lang w:val="en-US"/>
        </w:rPr>
        <w:t>Kit</w:t>
      </w:r>
      <w:r w:rsidR="000127DD">
        <w:rPr>
          <w:lang w:val="en-US"/>
        </w:rPr>
        <w:t xml:space="preserve"> and</w:t>
      </w:r>
      <w:r w:rsidR="00E848CC">
        <w:rPr>
          <w:lang w:val="en-US"/>
        </w:rPr>
        <w:t xml:space="preserve"> diluted to 4 </w:t>
      </w:r>
      <w:proofErr w:type="spellStart"/>
      <w:r w:rsidR="00E848CC">
        <w:rPr>
          <w:lang w:val="en-US"/>
        </w:rPr>
        <w:t>nM</w:t>
      </w:r>
      <w:proofErr w:type="spellEnd"/>
      <w:r w:rsidR="00E848CC">
        <w:rPr>
          <w:lang w:val="en-US"/>
        </w:rPr>
        <w:t xml:space="preserve"> in </w:t>
      </w:r>
      <w:r w:rsidR="00ED3515">
        <w:rPr>
          <w:lang w:val="en-US"/>
        </w:rPr>
        <w:t xml:space="preserve">a final volume of 20 </w:t>
      </w:r>
      <w:r w:rsidR="00ED3515">
        <w:rPr>
          <w:rFonts w:cstheme="minorHAnsi"/>
          <w:lang w:val="en-US"/>
        </w:rPr>
        <w:t>μ</w:t>
      </w:r>
      <w:r w:rsidR="00ED3515">
        <w:rPr>
          <w:lang w:val="en-US"/>
        </w:rPr>
        <w:t xml:space="preserve">l </w:t>
      </w:r>
      <w:r w:rsidR="00077CA9">
        <w:rPr>
          <w:lang w:val="en-US"/>
        </w:rPr>
        <w:t xml:space="preserve">using </w:t>
      </w:r>
      <w:r w:rsidR="00370474">
        <w:rPr>
          <w:lang w:val="en-US"/>
        </w:rPr>
        <w:t>resuspension buffer (</w:t>
      </w:r>
      <w:r w:rsidR="000127DD">
        <w:rPr>
          <w:lang w:val="en-US"/>
        </w:rPr>
        <w:t>c</w:t>
      </w:r>
      <w:r w:rsidR="007E4F12">
        <w:rPr>
          <w:lang w:val="en-US"/>
        </w:rPr>
        <w:t xml:space="preserve">atalogue </w:t>
      </w:r>
      <w:r w:rsidR="000127DD">
        <w:rPr>
          <w:lang w:val="en-US"/>
        </w:rPr>
        <w:t xml:space="preserve">no. </w:t>
      </w:r>
      <w:r w:rsidR="007E4F12" w:rsidRPr="009B07E4">
        <w:rPr>
          <w:lang w:val="en-US"/>
        </w:rPr>
        <w:t>20018704</w:t>
      </w:r>
      <w:r w:rsidR="007E4F12">
        <w:rPr>
          <w:lang w:val="en-US"/>
        </w:rPr>
        <w:t xml:space="preserve">, </w:t>
      </w:r>
      <w:r w:rsidR="00370474">
        <w:rPr>
          <w:lang w:val="en-US"/>
        </w:rPr>
        <w:t>I</w:t>
      </w:r>
      <w:r w:rsidR="00370474" w:rsidRPr="009770D3">
        <w:rPr>
          <w:lang w:val="en-US"/>
        </w:rPr>
        <w:t>llumina</w:t>
      </w:r>
      <w:r w:rsidR="00370474">
        <w:rPr>
          <w:lang w:val="en-US"/>
        </w:rPr>
        <w:t>, Inc.,</w:t>
      </w:r>
      <w:r w:rsidR="00370474" w:rsidRPr="0070535E">
        <w:t xml:space="preserve"> </w:t>
      </w:r>
      <w:r w:rsidR="00370474" w:rsidRPr="0070535E">
        <w:rPr>
          <w:lang w:val="en-US"/>
        </w:rPr>
        <w:t>San Diego, CA, USA</w:t>
      </w:r>
      <w:r w:rsidR="00370474">
        <w:rPr>
          <w:lang w:val="en-US"/>
        </w:rPr>
        <w:t>).</w:t>
      </w:r>
      <w:r w:rsidR="00127D87">
        <w:rPr>
          <w:lang w:val="en-US"/>
        </w:rPr>
        <w:t xml:space="preserve"> Two pooled libraries</w:t>
      </w:r>
      <w:r w:rsidR="008E541B">
        <w:rPr>
          <w:lang w:val="en-US"/>
        </w:rPr>
        <w:t xml:space="preserve">, representing 11 and 12 isolates respectively, </w:t>
      </w:r>
      <w:r w:rsidR="00127D87">
        <w:rPr>
          <w:lang w:val="en-US"/>
        </w:rPr>
        <w:t xml:space="preserve">were </w:t>
      </w:r>
      <w:r w:rsidR="008E541B">
        <w:rPr>
          <w:lang w:val="en-US"/>
        </w:rPr>
        <w:t xml:space="preserve">sequenced using the </w:t>
      </w:r>
      <w:r w:rsidR="003C4727">
        <w:rPr>
          <w:lang w:val="en-US"/>
        </w:rPr>
        <w:t xml:space="preserve">MiSeq Reagent Kit v2 (300 cycles) </w:t>
      </w:r>
      <w:r w:rsidR="007373E5">
        <w:rPr>
          <w:lang w:val="en-US"/>
        </w:rPr>
        <w:t>(</w:t>
      </w:r>
      <w:r w:rsidR="00965ED2">
        <w:rPr>
          <w:lang w:val="en-US"/>
        </w:rPr>
        <w:t>c</w:t>
      </w:r>
      <w:r w:rsidR="007373E5">
        <w:rPr>
          <w:lang w:val="en-US"/>
        </w:rPr>
        <w:t xml:space="preserve">atalogue </w:t>
      </w:r>
      <w:r w:rsidR="00965ED2">
        <w:rPr>
          <w:lang w:val="en-US"/>
        </w:rPr>
        <w:t>no. MS-102-2002</w:t>
      </w:r>
      <w:r w:rsidR="007373E5">
        <w:rPr>
          <w:lang w:val="en-US"/>
        </w:rPr>
        <w:t>, I</w:t>
      </w:r>
      <w:r w:rsidR="007373E5" w:rsidRPr="009770D3">
        <w:rPr>
          <w:lang w:val="en-US"/>
        </w:rPr>
        <w:t>llumina</w:t>
      </w:r>
      <w:r w:rsidR="007373E5">
        <w:rPr>
          <w:lang w:val="en-US"/>
        </w:rPr>
        <w:t>, Inc.,</w:t>
      </w:r>
      <w:r w:rsidR="007373E5" w:rsidRPr="0070535E">
        <w:t xml:space="preserve"> </w:t>
      </w:r>
      <w:r w:rsidR="007373E5" w:rsidRPr="0070535E">
        <w:rPr>
          <w:lang w:val="en-US"/>
        </w:rPr>
        <w:t>San Diego, CA, USA</w:t>
      </w:r>
      <w:r w:rsidR="007373E5">
        <w:rPr>
          <w:lang w:val="en-US"/>
        </w:rPr>
        <w:t>)</w:t>
      </w:r>
      <w:r w:rsidR="000127DD">
        <w:rPr>
          <w:lang w:val="en-US"/>
        </w:rPr>
        <w:t xml:space="preserve">. Loading concentrations of the pooled libraries were calculated at 12 </w:t>
      </w:r>
      <w:proofErr w:type="spellStart"/>
      <w:r w:rsidR="000127DD">
        <w:rPr>
          <w:lang w:val="en-US"/>
        </w:rPr>
        <w:t>pM</w:t>
      </w:r>
      <w:proofErr w:type="spellEnd"/>
      <w:r w:rsidR="000127DD">
        <w:rPr>
          <w:lang w:val="en-US"/>
        </w:rPr>
        <w:t xml:space="preserve"> and 9 </w:t>
      </w:r>
      <w:proofErr w:type="spellStart"/>
      <w:r w:rsidR="000127DD">
        <w:rPr>
          <w:lang w:val="en-US"/>
        </w:rPr>
        <w:t>pM</w:t>
      </w:r>
      <w:proofErr w:type="spellEnd"/>
      <w:r w:rsidR="000127DD">
        <w:rPr>
          <w:lang w:val="en-US"/>
        </w:rPr>
        <w:t xml:space="preserve">, respectively. </w:t>
      </w:r>
      <w:r w:rsidR="00E87F8D" w:rsidRPr="00E87F8D">
        <w:rPr>
          <w:lang w:val="en-US"/>
        </w:rPr>
        <w:t>Each</w:t>
      </w:r>
      <w:r w:rsidR="00E87F8D">
        <w:rPr>
          <w:lang w:val="en-US"/>
        </w:rPr>
        <w:t xml:space="preserve"> pooled library</w:t>
      </w:r>
      <w:r w:rsidR="00E87F8D" w:rsidRPr="00E87F8D">
        <w:rPr>
          <w:lang w:val="en-US"/>
        </w:rPr>
        <w:t xml:space="preserve"> contained the PhiX internal sequencing</w:t>
      </w:r>
      <w:r w:rsidR="00E87F8D">
        <w:rPr>
          <w:lang w:val="en-US"/>
        </w:rPr>
        <w:t xml:space="preserve"> </w:t>
      </w:r>
      <w:r w:rsidR="00E87F8D" w:rsidRPr="00E87F8D">
        <w:rPr>
          <w:lang w:val="en-US"/>
        </w:rPr>
        <w:t xml:space="preserve">control spiked at </w:t>
      </w:r>
      <w:r w:rsidR="00E87F8D">
        <w:rPr>
          <w:lang w:val="en-US"/>
        </w:rPr>
        <w:t>2</w:t>
      </w:r>
      <w:r w:rsidR="00E87F8D" w:rsidRPr="00E87F8D">
        <w:rPr>
          <w:lang w:val="en-US"/>
        </w:rPr>
        <w:t>%</w:t>
      </w:r>
      <w:r w:rsidR="00E87F8D">
        <w:rPr>
          <w:lang w:val="en-US"/>
        </w:rPr>
        <w:t xml:space="preserve"> and generated 2 x 150 bp </w:t>
      </w:r>
      <w:proofErr w:type="gramStart"/>
      <w:r w:rsidR="00E87F8D">
        <w:rPr>
          <w:lang w:val="en-US"/>
        </w:rPr>
        <w:t>paired-end</w:t>
      </w:r>
      <w:proofErr w:type="gramEnd"/>
      <w:r w:rsidR="00E87F8D">
        <w:rPr>
          <w:lang w:val="en-US"/>
        </w:rPr>
        <w:t xml:space="preserve"> reads on the </w:t>
      </w:r>
      <w:r w:rsidR="00E87F8D" w:rsidRPr="00E87F8D">
        <w:rPr>
          <w:lang w:val="en-US"/>
        </w:rPr>
        <w:t>Illumina® MiSeq™ platform</w:t>
      </w:r>
      <w:r w:rsidR="00E87F8D">
        <w:rPr>
          <w:lang w:val="en-US"/>
        </w:rPr>
        <w:t>.</w:t>
      </w:r>
    </w:p>
    <w:p w14:paraId="1D3901CF" w14:textId="533257B4" w:rsidR="00F37969" w:rsidRDefault="00F37969" w:rsidP="00E30099">
      <w:pPr>
        <w:jc w:val="both"/>
        <w:rPr>
          <w:i/>
          <w:iCs/>
          <w:lang w:val="en-US"/>
        </w:rPr>
      </w:pPr>
    </w:p>
    <w:p w14:paraId="4D5B66F6" w14:textId="4689CBA6" w:rsidR="006605BD" w:rsidRDefault="006605BD" w:rsidP="00E30099">
      <w:pPr>
        <w:jc w:val="both"/>
        <w:rPr>
          <w:i/>
          <w:iCs/>
          <w:lang w:val="en-US"/>
        </w:rPr>
      </w:pPr>
    </w:p>
    <w:p w14:paraId="2F5688CE" w14:textId="25CB1716" w:rsidR="006605BD" w:rsidRDefault="006605BD" w:rsidP="00E30099">
      <w:pPr>
        <w:jc w:val="both"/>
        <w:rPr>
          <w:i/>
          <w:iCs/>
          <w:lang w:val="en-US"/>
        </w:rPr>
      </w:pPr>
    </w:p>
    <w:p w14:paraId="7B416F12" w14:textId="184EFBB4" w:rsidR="006605BD" w:rsidRDefault="006605BD" w:rsidP="00E30099">
      <w:pPr>
        <w:jc w:val="both"/>
        <w:rPr>
          <w:i/>
          <w:iCs/>
          <w:lang w:val="en-US"/>
        </w:rPr>
      </w:pPr>
    </w:p>
    <w:p w14:paraId="291AED1A" w14:textId="0906C794" w:rsidR="006605BD" w:rsidRDefault="006605BD" w:rsidP="00E30099">
      <w:pPr>
        <w:jc w:val="both"/>
        <w:rPr>
          <w:i/>
          <w:iCs/>
          <w:lang w:val="en-US"/>
        </w:rPr>
      </w:pPr>
    </w:p>
    <w:p w14:paraId="64233707" w14:textId="36030593" w:rsidR="006605BD" w:rsidRDefault="006605BD" w:rsidP="00E30099">
      <w:pPr>
        <w:jc w:val="both"/>
        <w:rPr>
          <w:i/>
          <w:iCs/>
          <w:lang w:val="en-US"/>
        </w:rPr>
      </w:pPr>
    </w:p>
    <w:p w14:paraId="2CF99FCF" w14:textId="7F74A602" w:rsidR="006605BD" w:rsidRDefault="006605BD" w:rsidP="00E30099">
      <w:pPr>
        <w:jc w:val="both"/>
        <w:rPr>
          <w:i/>
          <w:iCs/>
          <w:lang w:val="en-US"/>
        </w:rPr>
      </w:pPr>
    </w:p>
    <w:p w14:paraId="39118473" w14:textId="70131501" w:rsidR="006605BD" w:rsidRDefault="006605BD" w:rsidP="00E30099">
      <w:pPr>
        <w:jc w:val="both"/>
        <w:rPr>
          <w:i/>
          <w:iCs/>
          <w:lang w:val="en-US"/>
        </w:rPr>
      </w:pPr>
    </w:p>
    <w:p w14:paraId="2719B06A" w14:textId="1F919F76" w:rsidR="006605BD" w:rsidRDefault="006605BD" w:rsidP="00E30099">
      <w:pPr>
        <w:jc w:val="both"/>
        <w:rPr>
          <w:i/>
          <w:iCs/>
          <w:lang w:val="en-US"/>
        </w:rPr>
      </w:pPr>
    </w:p>
    <w:p w14:paraId="309F3A40" w14:textId="678A6E8E" w:rsidR="006605BD" w:rsidRDefault="006605BD" w:rsidP="00E30099">
      <w:pPr>
        <w:jc w:val="both"/>
        <w:rPr>
          <w:i/>
          <w:iCs/>
          <w:lang w:val="en-US"/>
        </w:rPr>
      </w:pPr>
    </w:p>
    <w:p w14:paraId="44C03E76" w14:textId="1E291EE5" w:rsidR="006605BD" w:rsidRDefault="006605BD" w:rsidP="00E30099">
      <w:pPr>
        <w:jc w:val="both"/>
        <w:rPr>
          <w:i/>
          <w:iCs/>
          <w:lang w:val="en-US"/>
        </w:rPr>
      </w:pPr>
    </w:p>
    <w:p w14:paraId="2A92EB7E" w14:textId="6161125E" w:rsidR="006605BD" w:rsidRDefault="006605BD" w:rsidP="00E30099">
      <w:pPr>
        <w:jc w:val="both"/>
        <w:rPr>
          <w:i/>
          <w:iCs/>
          <w:lang w:val="en-US"/>
        </w:rPr>
      </w:pPr>
    </w:p>
    <w:p w14:paraId="640A98EE" w14:textId="77777777" w:rsidR="006605BD" w:rsidRDefault="006605BD" w:rsidP="00E30099">
      <w:pPr>
        <w:jc w:val="both"/>
        <w:rPr>
          <w:i/>
          <w:iCs/>
          <w:lang w:val="en-US"/>
        </w:rPr>
      </w:pPr>
    </w:p>
    <w:p w14:paraId="745D4B59" w14:textId="77777777" w:rsidR="00A7271A" w:rsidRPr="00A7271A" w:rsidRDefault="00A7271A" w:rsidP="00A7271A">
      <w:pPr>
        <w:jc w:val="both"/>
        <w:rPr>
          <w:i/>
          <w:iCs/>
          <w:lang w:val="en-US"/>
        </w:rPr>
      </w:pPr>
      <w:r w:rsidRPr="00A7271A">
        <w:rPr>
          <w:i/>
          <w:iCs/>
          <w:lang w:val="en-US"/>
        </w:rPr>
        <w:lastRenderedPageBreak/>
        <w:t>List of isolates sequenced</w:t>
      </w:r>
    </w:p>
    <w:tbl>
      <w:tblPr>
        <w:tblStyle w:val="TableGrid"/>
        <w:tblW w:w="0" w:type="auto"/>
        <w:tblLook w:val="04A0" w:firstRow="1" w:lastRow="0" w:firstColumn="1" w:lastColumn="0" w:noHBand="0" w:noVBand="1"/>
      </w:tblPr>
      <w:tblGrid>
        <w:gridCol w:w="1641"/>
        <w:gridCol w:w="1818"/>
        <w:gridCol w:w="769"/>
        <w:gridCol w:w="851"/>
        <w:gridCol w:w="993"/>
        <w:gridCol w:w="975"/>
        <w:gridCol w:w="993"/>
        <w:gridCol w:w="976"/>
      </w:tblGrid>
      <w:tr w:rsidR="00A7271A" w:rsidRPr="002C5D6A" w14:paraId="3C0F5AD0" w14:textId="77777777" w:rsidTr="006E2F15">
        <w:trPr>
          <w:trHeight w:val="295"/>
        </w:trPr>
        <w:tc>
          <w:tcPr>
            <w:tcW w:w="1641" w:type="dxa"/>
            <w:noWrap/>
            <w:vAlign w:val="center"/>
            <w:hideMark/>
          </w:tcPr>
          <w:p w14:paraId="3A2098C2" w14:textId="77777777" w:rsidR="00A7271A" w:rsidRPr="002C5D6A" w:rsidRDefault="00A7271A" w:rsidP="006E2F15">
            <w:pPr>
              <w:jc w:val="center"/>
              <w:rPr>
                <w:sz w:val="16"/>
                <w:szCs w:val="16"/>
              </w:rPr>
            </w:pPr>
            <w:proofErr w:type="spellStart"/>
            <w:r w:rsidRPr="002C5D6A">
              <w:rPr>
                <w:sz w:val="16"/>
                <w:szCs w:val="16"/>
              </w:rPr>
              <w:t>Sample_ID</w:t>
            </w:r>
            <w:proofErr w:type="spellEnd"/>
          </w:p>
        </w:tc>
        <w:tc>
          <w:tcPr>
            <w:tcW w:w="1818" w:type="dxa"/>
            <w:noWrap/>
            <w:vAlign w:val="center"/>
            <w:hideMark/>
          </w:tcPr>
          <w:p w14:paraId="0F911509" w14:textId="77777777" w:rsidR="00A7271A" w:rsidRPr="002C5D6A" w:rsidRDefault="00A7271A" w:rsidP="006E2F15">
            <w:pPr>
              <w:jc w:val="center"/>
              <w:rPr>
                <w:sz w:val="16"/>
                <w:szCs w:val="16"/>
              </w:rPr>
            </w:pPr>
            <w:r>
              <w:rPr>
                <w:sz w:val="16"/>
                <w:szCs w:val="16"/>
              </w:rPr>
              <w:t>Organism ID</w:t>
            </w:r>
          </w:p>
        </w:tc>
        <w:tc>
          <w:tcPr>
            <w:tcW w:w="769" w:type="dxa"/>
          </w:tcPr>
          <w:p w14:paraId="4BE0A37B" w14:textId="77777777" w:rsidR="00A7271A" w:rsidRDefault="00A7271A" w:rsidP="006E2F15">
            <w:pPr>
              <w:jc w:val="center"/>
              <w:rPr>
                <w:sz w:val="16"/>
                <w:szCs w:val="16"/>
              </w:rPr>
            </w:pPr>
            <w:r>
              <w:rPr>
                <w:sz w:val="16"/>
                <w:szCs w:val="16"/>
              </w:rPr>
              <w:t>Hospital</w:t>
            </w:r>
          </w:p>
        </w:tc>
        <w:tc>
          <w:tcPr>
            <w:tcW w:w="851" w:type="dxa"/>
            <w:vAlign w:val="center"/>
          </w:tcPr>
          <w:p w14:paraId="03EC7BC8" w14:textId="77777777" w:rsidR="00A7271A" w:rsidRPr="002C5D6A" w:rsidRDefault="00A7271A" w:rsidP="006E2F15">
            <w:pPr>
              <w:jc w:val="center"/>
              <w:rPr>
                <w:sz w:val="16"/>
                <w:szCs w:val="16"/>
              </w:rPr>
            </w:pPr>
            <w:r>
              <w:rPr>
                <w:sz w:val="16"/>
                <w:szCs w:val="16"/>
              </w:rPr>
              <w:t>Run</w:t>
            </w:r>
          </w:p>
        </w:tc>
        <w:tc>
          <w:tcPr>
            <w:tcW w:w="993" w:type="dxa"/>
            <w:noWrap/>
            <w:vAlign w:val="center"/>
            <w:hideMark/>
          </w:tcPr>
          <w:p w14:paraId="22554FD2" w14:textId="77777777" w:rsidR="00A7271A" w:rsidRPr="002C5D6A" w:rsidRDefault="00A7271A" w:rsidP="006E2F15">
            <w:pPr>
              <w:jc w:val="center"/>
              <w:rPr>
                <w:sz w:val="16"/>
                <w:szCs w:val="16"/>
              </w:rPr>
            </w:pPr>
            <w:r w:rsidRPr="002C5D6A">
              <w:rPr>
                <w:sz w:val="16"/>
                <w:szCs w:val="16"/>
              </w:rPr>
              <w:t>I7_Index_ID</w:t>
            </w:r>
          </w:p>
        </w:tc>
        <w:tc>
          <w:tcPr>
            <w:tcW w:w="975" w:type="dxa"/>
            <w:noWrap/>
            <w:vAlign w:val="center"/>
            <w:hideMark/>
          </w:tcPr>
          <w:p w14:paraId="3DE3EC8D" w14:textId="77777777" w:rsidR="00A7271A" w:rsidRPr="002C5D6A" w:rsidRDefault="00A7271A" w:rsidP="006E2F15">
            <w:pPr>
              <w:jc w:val="center"/>
              <w:rPr>
                <w:sz w:val="16"/>
                <w:szCs w:val="16"/>
              </w:rPr>
            </w:pPr>
            <w:r w:rsidRPr="002C5D6A">
              <w:rPr>
                <w:sz w:val="16"/>
                <w:szCs w:val="16"/>
              </w:rPr>
              <w:t>index</w:t>
            </w:r>
          </w:p>
        </w:tc>
        <w:tc>
          <w:tcPr>
            <w:tcW w:w="993" w:type="dxa"/>
            <w:noWrap/>
            <w:vAlign w:val="center"/>
            <w:hideMark/>
          </w:tcPr>
          <w:p w14:paraId="6BF6BF14" w14:textId="77777777" w:rsidR="00A7271A" w:rsidRPr="002C5D6A" w:rsidRDefault="00A7271A" w:rsidP="006E2F15">
            <w:pPr>
              <w:jc w:val="center"/>
              <w:rPr>
                <w:sz w:val="16"/>
                <w:szCs w:val="16"/>
              </w:rPr>
            </w:pPr>
            <w:r w:rsidRPr="002C5D6A">
              <w:rPr>
                <w:sz w:val="16"/>
                <w:szCs w:val="16"/>
              </w:rPr>
              <w:t>I5_Index_ID</w:t>
            </w:r>
          </w:p>
        </w:tc>
        <w:tc>
          <w:tcPr>
            <w:tcW w:w="976" w:type="dxa"/>
            <w:noWrap/>
            <w:vAlign w:val="center"/>
            <w:hideMark/>
          </w:tcPr>
          <w:p w14:paraId="740D44A5" w14:textId="77777777" w:rsidR="00A7271A" w:rsidRPr="002C5D6A" w:rsidRDefault="00A7271A" w:rsidP="006E2F15">
            <w:pPr>
              <w:jc w:val="center"/>
              <w:rPr>
                <w:sz w:val="16"/>
                <w:szCs w:val="16"/>
              </w:rPr>
            </w:pPr>
            <w:r w:rsidRPr="002C5D6A">
              <w:rPr>
                <w:sz w:val="16"/>
                <w:szCs w:val="16"/>
              </w:rPr>
              <w:t>index2</w:t>
            </w:r>
          </w:p>
        </w:tc>
      </w:tr>
      <w:tr w:rsidR="00A7271A" w:rsidRPr="002C5D6A" w14:paraId="72ADE451" w14:textId="77777777" w:rsidTr="006E2F15">
        <w:trPr>
          <w:trHeight w:val="295"/>
        </w:trPr>
        <w:tc>
          <w:tcPr>
            <w:tcW w:w="1641" w:type="dxa"/>
            <w:shd w:val="clear" w:color="auto" w:fill="D9E2F3" w:themeFill="accent1" w:themeFillTint="33"/>
            <w:noWrap/>
            <w:vAlign w:val="center"/>
            <w:hideMark/>
          </w:tcPr>
          <w:p w14:paraId="341BB48E" w14:textId="77777777" w:rsidR="00A7271A" w:rsidRPr="002C5D6A" w:rsidRDefault="00A7271A" w:rsidP="006E2F15">
            <w:pPr>
              <w:jc w:val="center"/>
              <w:rPr>
                <w:sz w:val="16"/>
                <w:szCs w:val="16"/>
              </w:rPr>
            </w:pPr>
            <w:r w:rsidRPr="002C5D6A">
              <w:rPr>
                <w:sz w:val="16"/>
                <w:szCs w:val="16"/>
              </w:rPr>
              <w:t>KLEB_CRE_GSH_0001</w:t>
            </w:r>
          </w:p>
        </w:tc>
        <w:tc>
          <w:tcPr>
            <w:tcW w:w="18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5EA8102" w14:textId="77777777" w:rsidR="00A7271A" w:rsidRPr="004B0F7A" w:rsidRDefault="00A7271A" w:rsidP="006E2F15">
            <w:pPr>
              <w:jc w:val="center"/>
              <w:rPr>
                <w:sz w:val="16"/>
                <w:szCs w:val="16"/>
              </w:rPr>
            </w:pPr>
            <w:r w:rsidRPr="004B0F7A">
              <w:rPr>
                <w:rFonts w:ascii="Calibri" w:hAnsi="Calibri" w:cs="Calibri"/>
                <w:color w:val="000000"/>
                <w:sz w:val="16"/>
                <w:szCs w:val="16"/>
              </w:rPr>
              <w:t xml:space="preserve">Klebsiella pneumoniae </w:t>
            </w:r>
            <w:proofErr w:type="spellStart"/>
            <w:r w:rsidRPr="004B0F7A">
              <w:rPr>
                <w:rFonts w:ascii="Calibri" w:hAnsi="Calibri" w:cs="Calibri"/>
                <w:color w:val="000000"/>
                <w:sz w:val="16"/>
                <w:szCs w:val="16"/>
              </w:rPr>
              <w:t>subsp</w:t>
            </w:r>
            <w:proofErr w:type="spellEnd"/>
            <w:r w:rsidRPr="004B0F7A">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3063DFE7"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029160E9"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1E3F82C5" w14:textId="77777777" w:rsidR="00A7271A" w:rsidRPr="002C5D6A" w:rsidRDefault="00A7271A" w:rsidP="006E2F15">
            <w:pPr>
              <w:jc w:val="center"/>
              <w:rPr>
                <w:sz w:val="16"/>
                <w:szCs w:val="16"/>
              </w:rPr>
            </w:pPr>
            <w:r w:rsidRPr="002C5D6A">
              <w:rPr>
                <w:sz w:val="16"/>
                <w:szCs w:val="16"/>
              </w:rPr>
              <w:t>H705</w:t>
            </w:r>
          </w:p>
        </w:tc>
        <w:tc>
          <w:tcPr>
            <w:tcW w:w="975" w:type="dxa"/>
            <w:shd w:val="clear" w:color="auto" w:fill="D9E2F3" w:themeFill="accent1" w:themeFillTint="33"/>
            <w:noWrap/>
            <w:vAlign w:val="center"/>
            <w:hideMark/>
          </w:tcPr>
          <w:p w14:paraId="058874EC" w14:textId="77777777" w:rsidR="00A7271A" w:rsidRPr="002C5D6A" w:rsidRDefault="00A7271A" w:rsidP="006E2F15">
            <w:pPr>
              <w:jc w:val="center"/>
              <w:rPr>
                <w:sz w:val="16"/>
                <w:szCs w:val="16"/>
              </w:rPr>
            </w:pPr>
            <w:r w:rsidRPr="002C5D6A">
              <w:rPr>
                <w:sz w:val="16"/>
                <w:szCs w:val="16"/>
              </w:rPr>
              <w:t>GGACTCCT</w:t>
            </w:r>
          </w:p>
        </w:tc>
        <w:tc>
          <w:tcPr>
            <w:tcW w:w="993" w:type="dxa"/>
            <w:shd w:val="clear" w:color="auto" w:fill="D9E2F3" w:themeFill="accent1" w:themeFillTint="33"/>
            <w:noWrap/>
            <w:vAlign w:val="center"/>
            <w:hideMark/>
          </w:tcPr>
          <w:p w14:paraId="5EFA3270" w14:textId="77777777" w:rsidR="00A7271A" w:rsidRPr="002C5D6A" w:rsidRDefault="00A7271A" w:rsidP="006E2F15">
            <w:pPr>
              <w:jc w:val="center"/>
              <w:rPr>
                <w:sz w:val="16"/>
                <w:szCs w:val="16"/>
              </w:rPr>
            </w:pPr>
            <w:r w:rsidRPr="002C5D6A">
              <w:rPr>
                <w:sz w:val="16"/>
                <w:szCs w:val="16"/>
              </w:rPr>
              <w:t>H503</w:t>
            </w:r>
          </w:p>
        </w:tc>
        <w:tc>
          <w:tcPr>
            <w:tcW w:w="976" w:type="dxa"/>
            <w:shd w:val="clear" w:color="auto" w:fill="D9E2F3" w:themeFill="accent1" w:themeFillTint="33"/>
            <w:noWrap/>
            <w:vAlign w:val="center"/>
            <w:hideMark/>
          </w:tcPr>
          <w:p w14:paraId="3F6DCF13" w14:textId="77777777" w:rsidR="00A7271A" w:rsidRPr="002C5D6A" w:rsidRDefault="00A7271A" w:rsidP="006E2F15">
            <w:pPr>
              <w:jc w:val="center"/>
              <w:rPr>
                <w:sz w:val="16"/>
                <w:szCs w:val="16"/>
              </w:rPr>
            </w:pPr>
            <w:r w:rsidRPr="002C5D6A">
              <w:rPr>
                <w:sz w:val="16"/>
                <w:szCs w:val="16"/>
              </w:rPr>
              <w:t>TATCCTCT</w:t>
            </w:r>
          </w:p>
        </w:tc>
      </w:tr>
      <w:tr w:rsidR="00A7271A" w:rsidRPr="002C5D6A" w14:paraId="117AA9B6" w14:textId="77777777" w:rsidTr="006E2F15">
        <w:trPr>
          <w:trHeight w:val="295"/>
        </w:trPr>
        <w:tc>
          <w:tcPr>
            <w:tcW w:w="1641" w:type="dxa"/>
            <w:shd w:val="clear" w:color="auto" w:fill="FFF2CC" w:themeFill="accent4" w:themeFillTint="33"/>
            <w:noWrap/>
            <w:vAlign w:val="center"/>
            <w:hideMark/>
          </w:tcPr>
          <w:p w14:paraId="141CDE28" w14:textId="77777777" w:rsidR="00A7271A" w:rsidRPr="002C5D6A" w:rsidRDefault="00A7271A" w:rsidP="006E2F15">
            <w:pPr>
              <w:jc w:val="center"/>
              <w:rPr>
                <w:sz w:val="16"/>
                <w:szCs w:val="16"/>
              </w:rPr>
            </w:pPr>
            <w:r w:rsidRPr="002C5D6A">
              <w:rPr>
                <w:sz w:val="16"/>
                <w:szCs w:val="16"/>
              </w:rPr>
              <w:t>ECOL_CRE_GSH_0002</w:t>
            </w:r>
          </w:p>
        </w:tc>
        <w:tc>
          <w:tcPr>
            <w:tcW w:w="1818" w:type="dxa"/>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32835935" w14:textId="77777777" w:rsidR="00A7271A" w:rsidRPr="004B0F7A" w:rsidRDefault="00A7271A" w:rsidP="006E2F15">
            <w:pPr>
              <w:jc w:val="center"/>
              <w:rPr>
                <w:sz w:val="16"/>
                <w:szCs w:val="16"/>
              </w:rPr>
            </w:pPr>
            <w:r w:rsidRPr="004B0F7A">
              <w:rPr>
                <w:rFonts w:ascii="Calibri" w:hAnsi="Calibri" w:cs="Calibri"/>
                <w:color w:val="000000"/>
                <w:sz w:val="16"/>
                <w:szCs w:val="16"/>
              </w:rPr>
              <w:t>Escherichia coli</w:t>
            </w:r>
          </w:p>
        </w:tc>
        <w:tc>
          <w:tcPr>
            <w:tcW w:w="769" w:type="dxa"/>
            <w:shd w:val="clear" w:color="auto" w:fill="FFF2CC" w:themeFill="accent4" w:themeFillTint="33"/>
            <w:vAlign w:val="center"/>
          </w:tcPr>
          <w:p w14:paraId="74021454"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FFF2CC" w:themeFill="accent4" w:themeFillTint="33"/>
            <w:vAlign w:val="center"/>
          </w:tcPr>
          <w:p w14:paraId="0ED2BEB3"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FFF2CC" w:themeFill="accent4" w:themeFillTint="33"/>
            <w:noWrap/>
            <w:vAlign w:val="center"/>
            <w:hideMark/>
          </w:tcPr>
          <w:p w14:paraId="45EA86F5" w14:textId="77777777" w:rsidR="00A7271A" w:rsidRPr="002C5D6A" w:rsidRDefault="00A7271A" w:rsidP="006E2F15">
            <w:pPr>
              <w:jc w:val="center"/>
              <w:rPr>
                <w:sz w:val="16"/>
                <w:szCs w:val="16"/>
              </w:rPr>
            </w:pPr>
            <w:r w:rsidRPr="002C5D6A">
              <w:rPr>
                <w:sz w:val="16"/>
                <w:szCs w:val="16"/>
              </w:rPr>
              <w:t>H706</w:t>
            </w:r>
          </w:p>
        </w:tc>
        <w:tc>
          <w:tcPr>
            <w:tcW w:w="975" w:type="dxa"/>
            <w:shd w:val="clear" w:color="auto" w:fill="FFF2CC" w:themeFill="accent4" w:themeFillTint="33"/>
            <w:noWrap/>
            <w:vAlign w:val="center"/>
            <w:hideMark/>
          </w:tcPr>
          <w:p w14:paraId="51484C1B" w14:textId="77777777" w:rsidR="00A7271A" w:rsidRPr="002C5D6A" w:rsidRDefault="00A7271A" w:rsidP="006E2F15">
            <w:pPr>
              <w:jc w:val="center"/>
              <w:rPr>
                <w:sz w:val="16"/>
                <w:szCs w:val="16"/>
              </w:rPr>
            </w:pPr>
            <w:r w:rsidRPr="002C5D6A">
              <w:rPr>
                <w:sz w:val="16"/>
                <w:szCs w:val="16"/>
              </w:rPr>
              <w:t>TAGGCATG</w:t>
            </w:r>
          </w:p>
        </w:tc>
        <w:tc>
          <w:tcPr>
            <w:tcW w:w="993" w:type="dxa"/>
            <w:shd w:val="clear" w:color="auto" w:fill="FFF2CC" w:themeFill="accent4" w:themeFillTint="33"/>
            <w:noWrap/>
            <w:vAlign w:val="center"/>
            <w:hideMark/>
          </w:tcPr>
          <w:p w14:paraId="5D9C7F40" w14:textId="77777777" w:rsidR="00A7271A" w:rsidRPr="002C5D6A" w:rsidRDefault="00A7271A" w:rsidP="006E2F15">
            <w:pPr>
              <w:jc w:val="center"/>
              <w:rPr>
                <w:sz w:val="16"/>
                <w:szCs w:val="16"/>
              </w:rPr>
            </w:pPr>
            <w:r w:rsidRPr="002C5D6A">
              <w:rPr>
                <w:sz w:val="16"/>
                <w:szCs w:val="16"/>
              </w:rPr>
              <w:t>H503</w:t>
            </w:r>
          </w:p>
        </w:tc>
        <w:tc>
          <w:tcPr>
            <w:tcW w:w="976" w:type="dxa"/>
            <w:shd w:val="clear" w:color="auto" w:fill="FFF2CC" w:themeFill="accent4" w:themeFillTint="33"/>
            <w:noWrap/>
            <w:vAlign w:val="center"/>
            <w:hideMark/>
          </w:tcPr>
          <w:p w14:paraId="57CA931D" w14:textId="77777777" w:rsidR="00A7271A" w:rsidRPr="002C5D6A" w:rsidRDefault="00A7271A" w:rsidP="006E2F15">
            <w:pPr>
              <w:jc w:val="center"/>
              <w:rPr>
                <w:sz w:val="16"/>
                <w:szCs w:val="16"/>
              </w:rPr>
            </w:pPr>
            <w:r w:rsidRPr="002C5D6A">
              <w:rPr>
                <w:sz w:val="16"/>
                <w:szCs w:val="16"/>
              </w:rPr>
              <w:t>TATCCTCT</w:t>
            </w:r>
          </w:p>
        </w:tc>
      </w:tr>
      <w:tr w:rsidR="00A7271A" w:rsidRPr="002C5D6A" w14:paraId="0A5E17EF" w14:textId="77777777" w:rsidTr="006E2F15">
        <w:trPr>
          <w:trHeight w:val="295"/>
        </w:trPr>
        <w:tc>
          <w:tcPr>
            <w:tcW w:w="1641" w:type="dxa"/>
            <w:shd w:val="clear" w:color="auto" w:fill="D9E2F3" w:themeFill="accent1" w:themeFillTint="33"/>
            <w:noWrap/>
            <w:vAlign w:val="center"/>
            <w:hideMark/>
          </w:tcPr>
          <w:p w14:paraId="29CD6D5B" w14:textId="77777777" w:rsidR="00A7271A" w:rsidRPr="002C5D6A" w:rsidRDefault="00A7271A" w:rsidP="006E2F15">
            <w:pPr>
              <w:jc w:val="center"/>
              <w:rPr>
                <w:sz w:val="16"/>
                <w:szCs w:val="16"/>
              </w:rPr>
            </w:pPr>
            <w:r w:rsidRPr="002C5D6A">
              <w:rPr>
                <w:sz w:val="16"/>
                <w:szCs w:val="16"/>
              </w:rPr>
              <w:t>KLEB_CRE_GSH_0003</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48E9056A" w14:textId="77777777" w:rsidR="00A7271A" w:rsidRPr="004B0F7A" w:rsidRDefault="00A7271A" w:rsidP="006E2F15">
            <w:pPr>
              <w:jc w:val="center"/>
              <w:rPr>
                <w:sz w:val="16"/>
                <w:szCs w:val="16"/>
              </w:rPr>
            </w:pPr>
            <w:r w:rsidRPr="004B0F7A">
              <w:rPr>
                <w:rFonts w:ascii="Calibri" w:hAnsi="Calibri" w:cs="Calibri"/>
                <w:color w:val="000000"/>
                <w:sz w:val="16"/>
                <w:szCs w:val="16"/>
              </w:rPr>
              <w:t xml:space="preserve">Klebsiella pneumoniae </w:t>
            </w:r>
            <w:proofErr w:type="spellStart"/>
            <w:r w:rsidRPr="004B0F7A">
              <w:rPr>
                <w:rFonts w:ascii="Calibri" w:hAnsi="Calibri" w:cs="Calibri"/>
                <w:color w:val="000000"/>
                <w:sz w:val="16"/>
                <w:szCs w:val="16"/>
              </w:rPr>
              <w:t>subsp</w:t>
            </w:r>
            <w:proofErr w:type="spellEnd"/>
            <w:r w:rsidRPr="004B0F7A">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2E8186AE"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3A188C84"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5AD36C7B" w14:textId="77777777" w:rsidR="00A7271A" w:rsidRPr="002C5D6A" w:rsidRDefault="00A7271A" w:rsidP="006E2F15">
            <w:pPr>
              <w:jc w:val="center"/>
              <w:rPr>
                <w:sz w:val="16"/>
                <w:szCs w:val="16"/>
              </w:rPr>
            </w:pPr>
            <w:r w:rsidRPr="002C5D6A">
              <w:rPr>
                <w:sz w:val="16"/>
                <w:szCs w:val="16"/>
              </w:rPr>
              <w:t>H707</w:t>
            </w:r>
          </w:p>
        </w:tc>
        <w:tc>
          <w:tcPr>
            <w:tcW w:w="975" w:type="dxa"/>
            <w:shd w:val="clear" w:color="auto" w:fill="D9E2F3" w:themeFill="accent1" w:themeFillTint="33"/>
            <w:noWrap/>
            <w:vAlign w:val="center"/>
            <w:hideMark/>
          </w:tcPr>
          <w:p w14:paraId="7BF5A44A" w14:textId="77777777" w:rsidR="00A7271A" w:rsidRPr="002C5D6A" w:rsidRDefault="00A7271A" w:rsidP="006E2F15">
            <w:pPr>
              <w:jc w:val="center"/>
              <w:rPr>
                <w:sz w:val="16"/>
                <w:szCs w:val="16"/>
              </w:rPr>
            </w:pPr>
            <w:r w:rsidRPr="002C5D6A">
              <w:rPr>
                <w:sz w:val="16"/>
                <w:szCs w:val="16"/>
              </w:rPr>
              <w:t>CTCTCTAC</w:t>
            </w:r>
          </w:p>
        </w:tc>
        <w:tc>
          <w:tcPr>
            <w:tcW w:w="993" w:type="dxa"/>
            <w:shd w:val="clear" w:color="auto" w:fill="D9E2F3" w:themeFill="accent1" w:themeFillTint="33"/>
            <w:noWrap/>
            <w:vAlign w:val="center"/>
            <w:hideMark/>
          </w:tcPr>
          <w:p w14:paraId="19ACA385" w14:textId="77777777" w:rsidR="00A7271A" w:rsidRPr="002C5D6A" w:rsidRDefault="00A7271A" w:rsidP="006E2F15">
            <w:pPr>
              <w:jc w:val="center"/>
              <w:rPr>
                <w:sz w:val="16"/>
                <w:szCs w:val="16"/>
              </w:rPr>
            </w:pPr>
            <w:r w:rsidRPr="002C5D6A">
              <w:rPr>
                <w:sz w:val="16"/>
                <w:szCs w:val="16"/>
              </w:rPr>
              <w:t>H503</w:t>
            </w:r>
          </w:p>
        </w:tc>
        <w:tc>
          <w:tcPr>
            <w:tcW w:w="976" w:type="dxa"/>
            <w:shd w:val="clear" w:color="auto" w:fill="D9E2F3" w:themeFill="accent1" w:themeFillTint="33"/>
            <w:noWrap/>
            <w:vAlign w:val="center"/>
            <w:hideMark/>
          </w:tcPr>
          <w:p w14:paraId="0F09E9E1" w14:textId="77777777" w:rsidR="00A7271A" w:rsidRPr="002C5D6A" w:rsidRDefault="00A7271A" w:rsidP="006E2F15">
            <w:pPr>
              <w:jc w:val="center"/>
              <w:rPr>
                <w:sz w:val="16"/>
                <w:szCs w:val="16"/>
              </w:rPr>
            </w:pPr>
            <w:r w:rsidRPr="002C5D6A">
              <w:rPr>
                <w:sz w:val="16"/>
                <w:szCs w:val="16"/>
              </w:rPr>
              <w:t>TATCCTCT</w:t>
            </w:r>
          </w:p>
        </w:tc>
      </w:tr>
      <w:tr w:rsidR="00A7271A" w:rsidRPr="002C5D6A" w14:paraId="681F6F67" w14:textId="77777777" w:rsidTr="006E2F15">
        <w:trPr>
          <w:trHeight w:val="295"/>
        </w:trPr>
        <w:tc>
          <w:tcPr>
            <w:tcW w:w="1641" w:type="dxa"/>
            <w:shd w:val="clear" w:color="auto" w:fill="D9E2F3" w:themeFill="accent1" w:themeFillTint="33"/>
            <w:noWrap/>
            <w:vAlign w:val="center"/>
            <w:hideMark/>
          </w:tcPr>
          <w:p w14:paraId="56C8F255" w14:textId="77777777" w:rsidR="00A7271A" w:rsidRPr="002C5D6A" w:rsidRDefault="00A7271A" w:rsidP="006E2F15">
            <w:pPr>
              <w:jc w:val="center"/>
              <w:rPr>
                <w:sz w:val="16"/>
                <w:szCs w:val="16"/>
              </w:rPr>
            </w:pPr>
            <w:r w:rsidRPr="002C5D6A">
              <w:rPr>
                <w:sz w:val="16"/>
                <w:szCs w:val="16"/>
              </w:rPr>
              <w:t>KLEB_CRE_GSH_0007</w:t>
            </w:r>
          </w:p>
        </w:tc>
        <w:tc>
          <w:tcPr>
            <w:tcW w:w="18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6057DCB" w14:textId="77777777" w:rsidR="00A7271A" w:rsidRPr="004B0F7A" w:rsidRDefault="00A7271A" w:rsidP="006E2F15">
            <w:pPr>
              <w:jc w:val="center"/>
              <w:rPr>
                <w:sz w:val="16"/>
                <w:szCs w:val="16"/>
              </w:rPr>
            </w:pPr>
            <w:r w:rsidRPr="004B0F7A">
              <w:rPr>
                <w:rFonts w:ascii="Calibri" w:hAnsi="Calibri" w:cs="Calibri"/>
                <w:color w:val="000000"/>
                <w:sz w:val="16"/>
                <w:szCs w:val="16"/>
              </w:rPr>
              <w:t xml:space="preserve">Klebsiella pneumoniae </w:t>
            </w:r>
            <w:proofErr w:type="spellStart"/>
            <w:r w:rsidRPr="004B0F7A">
              <w:rPr>
                <w:rFonts w:ascii="Calibri" w:hAnsi="Calibri" w:cs="Calibri"/>
                <w:color w:val="000000"/>
                <w:sz w:val="16"/>
                <w:szCs w:val="16"/>
              </w:rPr>
              <w:t>subsp</w:t>
            </w:r>
            <w:proofErr w:type="spellEnd"/>
            <w:r w:rsidRPr="004B0F7A">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4BB7C98F"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64BC53AE"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27E32729" w14:textId="77777777" w:rsidR="00A7271A" w:rsidRPr="002C5D6A" w:rsidRDefault="00A7271A" w:rsidP="006E2F15">
            <w:pPr>
              <w:jc w:val="center"/>
              <w:rPr>
                <w:sz w:val="16"/>
                <w:szCs w:val="16"/>
              </w:rPr>
            </w:pPr>
            <w:r w:rsidRPr="002C5D6A">
              <w:rPr>
                <w:sz w:val="16"/>
                <w:szCs w:val="16"/>
              </w:rPr>
              <w:t>H710</w:t>
            </w:r>
          </w:p>
        </w:tc>
        <w:tc>
          <w:tcPr>
            <w:tcW w:w="975" w:type="dxa"/>
            <w:shd w:val="clear" w:color="auto" w:fill="D9E2F3" w:themeFill="accent1" w:themeFillTint="33"/>
            <w:noWrap/>
            <w:vAlign w:val="center"/>
            <w:hideMark/>
          </w:tcPr>
          <w:p w14:paraId="5062076A" w14:textId="77777777" w:rsidR="00A7271A" w:rsidRPr="002C5D6A" w:rsidRDefault="00A7271A" w:rsidP="006E2F15">
            <w:pPr>
              <w:jc w:val="center"/>
              <w:rPr>
                <w:sz w:val="16"/>
                <w:szCs w:val="16"/>
              </w:rPr>
            </w:pPr>
            <w:r w:rsidRPr="002C5D6A">
              <w:rPr>
                <w:sz w:val="16"/>
                <w:szCs w:val="16"/>
              </w:rPr>
              <w:t>CGAGGCTG</w:t>
            </w:r>
          </w:p>
        </w:tc>
        <w:tc>
          <w:tcPr>
            <w:tcW w:w="993" w:type="dxa"/>
            <w:shd w:val="clear" w:color="auto" w:fill="D9E2F3" w:themeFill="accent1" w:themeFillTint="33"/>
            <w:noWrap/>
            <w:vAlign w:val="center"/>
            <w:hideMark/>
          </w:tcPr>
          <w:p w14:paraId="5BC35E33" w14:textId="77777777" w:rsidR="00A7271A" w:rsidRPr="002C5D6A" w:rsidRDefault="00A7271A" w:rsidP="006E2F15">
            <w:pPr>
              <w:jc w:val="center"/>
              <w:rPr>
                <w:sz w:val="16"/>
                <w:szCs w:val="16"/>
              </w:rPr>
            </w:pPr>
            <w:r w:rsidRPr="002C5D6A">
              <w:rPr>
                <w:sz w:val="16"/>
                <w:szCs w:val="16"/>
              </w:rPr>
              <w:t>H503</w:t>
            </w:r>
          </w:p>
        </w:tc>
        <w:tc>
          <w:tcPr>
            <w:tcW w:w="976" w:type="dxa"/>
            <w:shd w:val="clear" w:color="auto" w:fill="D9E2F3" w:themeFill="accent1" w:themeFillTint="33"/>
            <w:noWrap/>
            <w:vAlign w:val="center"/>
            <w:hideMark/>
          </w:tcPr>
          <w:p w14:paraId="7101AB8F" w14:textId="77777777" w:rsidR="00A7271A" w:rsidRPr="002C5D6A" w:rsidRDefault="00A7271A" w:rsidP="006E2F15">
            <w:pPr>
              <w:jc w:val="center"/>
              <w:rPr>
                <w:sz w:val="16"/>
                <w:szCs w:val="16"/>
              </w:rPr>
            </w:pPr>
            <w:r w:rsidRPr="002C5D6A">
              <w:rPr>
                <w:sz w:val="16"/>
                <w:szCs w:val="16"/>
              </w:rPr>
              <w:t>TATCCTCT</w:t>
            </w:r>
          </w:p>
        </w:tc>
      </w:tr>
      <w:tr w:rsidR="00A7271A" w:rsidRPr="002C5D6A" w14:paraId="45739D0F" w14:textId="77777777" w:rsidTr="006E2F15">
        <w:trPr>
          <w:trHeight w:val="295"/>
        </w:trPr>
        <w:tc>
          <w:tcPr>
            <w:tcW w:w="1641" w:type="dxa"/>
            <w:shd w:val="clear" w:color="auto" w:fill="D9E2F3" w:themeFill="accent1" w:themeFillTint="33"/>
            <w:noWrap/>
            <w:vAlign w:val="center"/>
            <w:hideMark/>
          </w:tcPr>
          <w:p w14:paraId="1901B656" w14:textId="77777777" w:rsidR="00A7271A" w:rsidRPr="002C5D6A" w:rsidRDefault="00A7271A" w:rsidP="006E2F15">
            <w:pPr>
              <w:jc w:val="center"/>
              <w:rPr>
                <w:sz w:val="16"/>
                <w:szCs w:val="16"/>
              </w:rPr>
            </w:pPr>
            <w:r w:rsidRPr="002C5D6A">
              <w:rPr>
                <w:sz w:val="16"/>
                <w:szCs w:val="16"/>
              </w:rPr>
              <w:t>KLEB_CRE_GSH_0008</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1BCB4A4" w14:textId="77777777" w:rsidR="00A7271A" w:rsidRPr="004B0F7A" w:rsidRDefault="00A7271A" w:rsidP="006E2F15">
            <w:pPr>
              <w:jc w:val="center"/>
              <w:rPr>
                <w:sz w:val="16"/>
                <w:szCs w:val="16"/>
              </w:rPr>
            </w:pPr>
            <w:r w:rsidRPr="004B0F7A">
              <w:rPr>
                <w:rFonts w:ascii="Calibri" w:hAnsi="Calibri" w:cs="Calibri"/>
                <w:color w:val="000000"/>
                <w:sz w:val="16"/>
                <w:szCs w:val="16"/>
              </w:rPr>
              <w:t xml:space="preserve">Klebsiella pneumoniae </w:t>
            </w:r>
            <w:proofErr w:type="spellStart"/>
            <w:r w:rsidRPr="004B0F7A">
              <w:rPr>
                <w:rFonts w:ascii="Calibri" w:hAnsi="Calibri" w:cs="Calibri"/>
                <w:color w:val="000000"/>
                <w:sz w:val="16"/>
                <w:szCs w:val="16"/>
              </w:rPr>
              <w:t>subsp</w:t>
            </w:r>
            <w:proofErr w:type="spellEnd"/>
            <w:r w:rsidRPr="004B0F7A">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6F6AE8A4"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736BDF86"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0C6B12F1" w14:textId="77777777" w:rsidR="00A7271A" w:rsidRPr="002C5D6A" w:rsidRDefault="00A7271A" w:rsidP="006E2F15">
            <w:pPr>
              <w:jc w:val="center"/>
              <w:rPr>
                <w:sz w:val="16"/>
                <w:szCs w:val="16"/>
              </w:rPr>
            </w:pPr>
            <w:r w:rsidRPr="002C5D6A">
              <w:rPr>
                <w:sz w:val="16"/>
                <w:szCs w:val="16"/>
              </w:rPr>
              <w:t>H711</w:t>
            </w:r>
          </w:p>
        </w:tc>
        <w:tc>
          <w:tcPr>
            <w:tcW w:w="975" w:type="dxa"/>
            <w:shd w:val="clear" w:color="auto" w:fill="D9E2F3" w:themeFill="accent1" w:themeFillTint="33"/>
            <w:noWrap/>
            <w:vAlign w:val="center"/>
            <w:hideMark/>
          </w:tcPr>
          <w:p w14:paraId="02C25363" w14:textId="77777777" w:rsidR="00A7271A" w:rsidRPr="002C5D6A" w:rsidRDefault="00A7271A" w:rsidP="006E2F15">
            <w:pPr>
              <w:jc w:val="center"/>
              <w:rPr>
                <w:sz w:val="16"/>
                <w:szCs w:val="16"/>
              </w:rPr>
            </w:pPr>
            <w:r w:rsidRPr="002C5D6A">
              <w:rPr>
                <w:sz w:val="16"/>
                <w:szCs w:val="16"/>
              </w:rPr>
              <w:t>AAGAGGCA</w:t>
            </w:r>
          </w:p>
        </w:tc>
        <w:tc>
          <w:tcPr>
            <w:tcW w:w="993" w:type="dxa"/>
            <w:shd w:val="clear" w:color="auto" w:fill="D9E2F3" w:themeFill="accent1" w:themeFillTint="33"/>
            <w:noWrap/>
            <w:vAlign w:val="center"/>
            <w:hideMark/>
          </w:tcPr>
          <w:p w14:paraId="7405BA67" w14:textId="77777777" w:rsidR="00A7271A" w:rsidRPr="002C5D6A" w:rsidRDefault="00A7271A" w:rsidP="006E2F15">
            <w:pPr>
              <w:jc w:val="center"/>
              <w:rPr>
                <w:sz w:val="16"/>
                <w:szCs w:val="16"/>
              </w:rPr>
            </w:pPr>
            <w:r w:rsidRPr="002C5D6A">
              <w:rPr>
                <w:sz w:val="16"/>
                <w:szCs w:val="16"/>
              </w:rPr>
              <w:t>H503</w:t>
            </w:r>
          </w:p>
        </w:tc>
        <w:tc>
          <w:tcPr>
            <w:tcW w:w="976" w:type="dxa"/>
            <w:shd w:val="clear" w:color="auto" w:fill="D9E2F3" w:themeFill="accent1" w:themeFillTint="33"/>
            <w:noWrap/>
            <w:vAlign w:val="center"/>
            <w:hideMark/>
          </w:tcPr>
          <w:p w14:paraId="1ACCFF87" w14:textId="77777777" w:rsidR="00A7271A" w:rsidRPr="002C5D6A" w:rsidRDefault="00A7271A" w:rsidP="006E2F15">
            <w:pPr>
              <w:jc w:val="center"/>
              <w:rPr>
                <w:sz w:val="16"/>
                <w:szCs w:val="16"/>
              </w:rPr>
            </w:pPr>
            <w:r w:rsidRPr="002C5D6A">
              <w:rPr>
                <w:sz w:val="16"/>
                <w:szCs w:val="16"/>
              </w:rPr>
              <w:t>TATCCTCT</w:t>
            </w:r>
          </w:p>
        </w:tc>
      </w:tr>
      <w:tr w:rsidR="00A7271A" w:rsidRPr="002C5D6A" w14:paraId="44BAFBEE" w14:textId="77777777" w:rsidTr="006E2F15">
        <w:trPr>
          <w:trHeight w:val="295"/>
        </w:trPr>
        <w:tc>
          <w:tcPr>
            <w:tcW w:w="1641" w:type="dxa"/>
            <w:shd w:val="clear" w:color="auto" w:fill="D9E2F3" w:themeFill="accent1" w:themeFillTint="33"/>
            <w:noWrap/>
            <w:vAlign w:val="center"/>
            <w:hideMark/>
          </w:tcPr>
          <w:p w14:paraId="7F5D1912" w14:textId="77777777" w:rsidR="00A7271A" w:rsidRPr="002C5D6A" w:rsidRDefault="00A7271A" w:rsidP="006E2F15">
            <w:pPr>
              <w:jc w:val="center"/>
              <w:rPr>
                <w:sz w:val="16"/>
                <w:szCs w:val="16"/>
              </w:rPr>
            </w:pPr>
            <w:r w:rsidRPr="002C5D6A">
              <w:rPr>
                <w:sz w:val="16"/>
                <w:szCs w:val="16"/>
              </w:rPr>
              <w:t>KLEB_CRE_GSH_0010</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197B277" w14:textId="77777777" w:rsidR="00A7271A" w:rsidRPr="004B0F7A" w:rsidRDefault="00A7271A" w:rsidP="006E2F15">
            <w:pPr>
              <w:jc w:val="center"/>
              <w:rPr>
                <w:sz w:val="16"/>
                <w:szCs w:val="16"/>
              </w:rPr>
            </w:pPr>
            <w:r w:rsidRPr="004B0F7A">
              <w:rPr>
                <w:rFonts w:ascii="Calibri" w:hAnsi="Calibri" w:cs="Calibri"/>
                <w:color w:val="000000"/>
                <w:sz w:val="16"/>
                <w:szCs w:val="16"/>
              </w:rPr>
              <w:t xml:space="preserve">Klebsiella pneumoniae </w:t>
            </w:r>
            <w:proofErr w:type="spellStart"/>
            <w:r w:rsidRPr="004B0F7A">
              <w:rPr>
                <w:rFonts w:ascii="Calibri" w:hAnsi="Calibri" w:cs="Calibri"/>
                <w:color w:val="000000"/>
                <w:sz w:val="16"/>
                <w:szCs w:val="16"/>
              </w:rPr>
              <w:t>subsp</w:t>
            </w:r>
            <w:proofErr w:type="spellEnd"/>
            <w:r w:rsidRPr="004B0F7A">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23A63A80"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3B1F0DFA"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3168029E" w14:textId="77777777" w:rsidR="00A7271A" w:rsidRPr="002C5D6A" w:rsidRDefault="00A7271A" w:rsidP="006E2F15">
            <w:pPr>
              <w:jc w:val="center"/>
              <w:rPr>
                <w:sz w:val="16"/>
                <w:szCs w:val="16"/>
              </w:rPr>
            </w:pPr>
            <w:r w:rsidRPr="002C5D6A">
              <w:rPr>
                <w:sz w:val="16"/>
                <w:szCs w:val="16"/>
              </w:rPr>
              <w:t>H714</w:t>
            </w:r>
          </w:p>
        </w:tc>
        <w:tc>
          <w:tcPr>
            <w:tcW w:w="975" w:type="dxa"/>
            <w:shd w:val="clear" w:color="auto" w:fill="D9E2F3" w:themeFill="accent1" w:themeFillTint="33"/>
            <w:noWrap/>
            <w:vAlign w:val="center"/>
            <w:hideMark/>
          </w:tcPr>
          <w:p w14:paraId="7E393638" w14:textId="77777777" w:rsidR="00A7271A" w:rsidRPr="002C5D6A" w:rsidRDefault="00A7271A" w:rsidP="006E2F15">
            <w:pPr>
              <w:jc w:val="center"/>
              <w:rPr>
                <w:sz w:val="16"/>
                <w:szCs w:val="16"/>
              </w:rPr>
            </w:pPr>
            <w:r w:rsidRPr="002C5D6A">
              <w:rPr>
                <w:sz w:val="16"/>
                <w:szCs w:val="16"/>
              </w:rPr>
              <w:t>GCTCATGA</w:t>
            </w:r>
          </w:p>
        </w:tc>
        <w:tc>
          <w:tcPr>
            <w:tcW w:w="993" w:type="dxa"/>
            <w:shd w:val="clear" w:color="auto" w:fill="D9E2F3" w:themeFill="accent1" w:themeFillTint="33"/>
            <w:noWrap/>
            <w:vAlign w:val="center"/>
            <w:hideMark/>
          </w:tcPr>
          <w:p w14:paraId="73E205D7" w14:textId="77777777" w:rsidR="00A7271A" w:rsidRPr="002C5D6A" w:rsidRDefault="00A7271A" w:rsidP="006E2F15">
            <w:pPr>
              <w:jc w:val="center"/>
              <w:rPr>
                <w:sz w:val="16"/>
                <w:szCs w:val="16"/>
              </w:rPr>
            </w:pPr>
            <w:r w:rsidRPr="002C5D6A">
              <w:rPr>
                <w:sz w:val="16"/>
                <w:szCs w:val="16"/>
              </w:rPr>
              <w:t>H503</w:t>
            </w:r>
          </w:p>
        </w:tc>
        <w:tc>
          <w:tcPr>
            <w:tcW w:w="976" w:type="dxa"/>
            <w:shd w:val="clear" w:color="auto" w:fill="D9E2F3" w:themeFill="accent1" w:themeFillTint="33"/>
            <w:noWrap/>
            <w:vAlign w:val="center"/>
            <w:hideMark/>
          </w:tcPr>
          <w:p w14:paraId="410700EB" w14:textId="77777777" w:rsidR="00A7271A" w:rsidRPr="002C5D6A" w:rsidRDefault="00A7271A" w:rsidP="006E2F15">
            <w:pPr>
              <w:jc w:val="center"/>
              <w:rPr>
                <w:sz w:val="16"/>
                <w:szCs w:val="16"/>
              </w:rPr>
            </w:pPr>
            <w:r w:rsidRPr="002C5D6A">
              <w:rPr>
                <w:sz w:val="16"/>
                <w:szCs w:val="16"/>
              </w:rPr>
              <w:t>TATCCTCT</w:t>
            </w:r>
          </w:p>
        </w:tc>
      </w:tr>
      <w:tr w:rsidR="00A7271A" w:rsidRPr="002C5D6A" w14:paraId="2887FF53" w14:textId="77777777" w:rsidTr="006E2F15">
        <w:trPr>
          <w:trHeight w:val="295"/>
        </w:trPr>
        <w:tc>
          <w:tcPr>
            <w:tcW w:w="1641" w:type="dxa"/>
            <w:shd w:val="clear" w:color="auto" w:fill="D9E2F3" w:themeFill="accent1" w:themeFillTint="33"/>
            <w:noWrap/>
            <w:vAlign w:val="center"/>
            <w:hideMark/>
          </w:tcPr>
          <w:p w14:paraId="545FBB04" w14:textId="77777777" w:rsidR="00A7271A" w:rsidRPr="002C5D6A" w:rsidRDefault="00A7271A" w:rsidP="006E2F15">
            <w:pPr>
              <w:jc w:val="center"/>
              <w:rPr>
                <w:sz w:val="16"/>
                <w:szCs w:val="16"/>
              </w:rPr>
            </w:pPr>
            <w:r w:rsidRPr="002C5D6A">
              <w:rPr>
                <w:sz w:val="16"/>
                <w:szCs w:val="16"/>
              </w:rPr>
              <w:t>KLEB_CRE_GSH_0011</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7967552" w14:textId="77777777" w:rsidR="00A7271A" w:rsidRPr="004B0F7A" w:rsidRDefault="00A7271A" w:rsidP="006E2F15">
            <w:pPr>
              <w:jc w:val="center"/>
              <w:rPr>
                <w:sz w:val="16"/>
                <w:szCs w:val="16"/>
              </w:rPr>
            </w:pPr>
            <w:r w:rsidRPr="004B0F7A">
              <w:rPr>
                <w:rFonts w:ascii="Calibri" w:hAnsi="Calibri" w:cs="Calibri"/>
                <w:color w:val="000000"/>
                <w:sz w:val="16"/>
                <w:szCs w:val="16"/>
              </w:rPr>
              <w:t xml:space="preserve">Klebsiella pneumoniae </w:t>
            </w:r>
            <w:proofErr w:type="spellStart"/>
            <w:r w:rsidRPr="004B0F7A">
              <w:rPr>
                <w:rFonts w:ascii="Calibri" w:hAnsi="Calibri" w:cs="Calibri"/>
                <w:color w:val="000000"/>
                <w:sz w:val="16"/>
                <w:szCs w:val="16"/>
              </w:rPr>
              <w:t>subsp</w:t>
            </w:r>
            <w:proofErr w:type="spellEnd"/>
            <w:r w:rsidRPr="004B0F7A">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621FC811"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784B28FC"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76705291" w14:textId="77777777" w:rsidR="00A7271A" w:rsidRPr="002C5D6A" w:rsidRDefault="00A7271A" w:rsidP="006E2F15">
            <w:pPr>
              <w:jc w:val="center"/>
              <w:rPr>
                <w:sz w:val="16"/>
                <w:szCs w:val="16"/>
              </w:rPr>
            </w:pPr>
            <w:r w:rsidRPr="002C5D6A">
              <w:rPr>
                <w:sz w:val="16"/>
                <w:szCs w:val="16"/>
              </w:rPr>
              <w:t>H705</w:t>
            </w:r>
          </w:p>
        </w:tc>
        <w:tc>
          <w:tcPr>
            <w:tcW w:w="975" w:type="dxa"/>
            <w:shd w:val="clear" w:color="auto" w:fill="D9E2F3" w:themeFill="accent1" w:themeFillTint="33"/>
            <w:noWrap/>
            <w:vAlign w:val="center"/>
            <w:hideMark/>
          </w:tcPr>
          <w:p w14:paraId="4E1C6ACD" w14:textId="77777777" w:rsidR="00A7271A" w:rsidRPr="002C5D6A" w:rsidRDefault="00A7271A" w:rsidP="006E2F15">
            <w:pPr>
              <w:jc w:val="center"/>
              <w:rPr>
                <w:sz w:val="16"/>
                <w:szCs w:val="16"/>
              </w:rPr>
            </w:pPr>
            <w:r w:rsidRPr="002C5D6A">
              <w:rPr>
                <w:sz w:val="16"/>
                <w:szCs w:val="16"/>
              </w:rPr>
              <w:t>GGACTCCT</w:t>
            </w:r>
          </w:p>
        </w:tc>
        <w:tc>
          <w:tcPr>
            <w:tcW w:w="993" w:type="dxa"/>
            <w:shd w:val="clear" w:color="auto" w:fill="D9E2F3" w:themeFill="accent1" w:themeFillTint="33"/>
            <w:noWrap/>
            <w:vAlign w:val="center"/>
            <w:hideMark/>
          </w:tcPr>
          <w:p w14:paraId="333A2A7E" w14:textId="77777777" w:rsidR="00A7271A" w:rsidRPr="002C5D6A" w:rsidRDefault="00A7271A" w:rsidP="006E2F15">
            <w:pPr>
              <w:jc w:val="center"/>
              <w:rPr>
                <w:sz w:val="16"/>
                <w:szCs w:val="16"/>
              </w:rPr>
            </w:pPr>
            <w:r w:rsidRPr="002C5D6A">
              <w:rPr>
                <w:sz w:val="16"/>
                <w:szCs w:val="16"/>
              </w:rPr>
              <w:t>H505</w:t>
            </w:r>
          </w:p>
        </w:tc>
        <w:tc>
          <w:tcPr>
            <w:tcW w:w="976" w:type="dxa"/>
            <w:shd w:val="clear" w:color="auto" w:fill="D9E2F3" w:themeFill="accent1" w:themeFillTint="33"/>
            <w:noWrap/>
            <w:vAlign w:val="center"/>
            <w:hideMark/>
          </w:tcPr>
          <w:p w14:paraId="597CEC74" w14:textId="77777777" w:rsidR="00A7271A" w:rsidRPr="002C5D6A" w:rsidRDefault="00A7271A" w:rsidP="006E2F15">
            <w:pPr>
              <w:jc w:val="center"/>
              <w:rPr>
                <w:sz w:val="16"/>
                <w:szCs w:val="16"/>
              </w:rPr>
            </w:pPr>
            <w:r w:rsidRPr="002C5D6A">
              <w:rPr>
                <w:sz w:val="16"/>
                <w:szCs w:val="16"/>
              </w:rPr>
              <w:t>GTAAGGAG</w:t>
            </w:r>
          </w:p>
        </w:tc>
      </w:tr>
      <w:tr w:rsidR="00A7271A" w:rsidRPr="002C5D6A" w14:paraId="74ECB8D2" w14:textId="77777777" w:rsidTr="006E2F15">
        <w:trPr>
          <w:trHeight w:val="295"/>
        </w:trPr>
        <w:tc>
          <w:tcPr>
            <w:tcW w:w="1641" w:type="dxa"/>
            <w:shd w:val="clear" w:color="auto" w:fill="D9E2F3" w:themeFill="accent1" w:themeFillTint="33"/>
            <w:noWrap/>
            <w:vAlign w:val="center"/>
            <w:hideMark/>
          </w:tcPr>
          <w:p w14:paraId="045ADD2F" w14:textId="77777777" w:rsidR="00A7271A" w:rsidRPr="002C5D6A" w:rsidRDefault="00A7271A" w:rsidP="006E2F15">
            <w:pPr>
              <w:jc w:val="center"/>
              <w:rPr>
                <w:sz w:val="16"/>
                <w:szCs w:val="16"/>
              </w:rPr>
            </w:pPr>
            <w:r w:rsidRPr="002C5D6A">
              <w:rPr>
                <w:sz w:val="16"/>
                <w:szCs w:val="16"/>
              </w:rPr>
              <w:t>KLEB_CRE_GSH_0013</w:t>
            </w:r>
          </w:p>
        </w:tc>
        <w:tc>
          <w:tcPr>
            <w:tcW w:w="181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CE4193C" w14:textId="77777777" w:rsidR="00A7271A" w:rsidRPr="0029011F" w:rsidRDefault="00A7271A" w:rsidP="006E2F15">
            <w:pPr>
              <w:jc w:val="center"/>
              <w:rPr>
                <w:sz w:val="16"/>
                <w:szCs w:val="16"/>
              </w:rPr>
            </w:pPr>
            <w:r w:rsidRPr="0029011F">
              <w:rPr>
                <w:rFonts w:ascii="Calibri" w:hAnsi="Calibri" w:cs="Calibri"/>
                <w:color w:val="000000"/>
                <w:sz w:val="16"/>
                <w:szCs w:val="16"/>
              </w:rPr>
              <w:t xml:space="preserve">Klebsiella pneumoniae </w:t>
            </w:r>
            <w:proofErr w:type="spellStart"/>
            <w:r w:rsidRPr="0029011F">
              <w:rPr>
                <w:rFonts w:ascii="Calibri" w:hAnsi="Calibri" w:cs="Calibri"/>
                <w:color w:val="000000"/>
                <w:sz w:val="16"/>
                <w:szCs w:val="16"/>
              </w:rPr>
              <w:t>subsp</w:t>
            </w:r>
            <w:proofErr w:type="spellEnd"/>
            <w:r w:rsidRPr="0029011F">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45A8DF60"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7A8E31C6"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3C187935" w14:textId="77777777" w:rsidR="00A7271A" w:rsidRPr="002C5D6A" w:rsidRDefault="00A7271A" w:rsidP="006E2F15">
            <w:pPr>
              <w:jc w:val="center"/>
              <w:rPr>
                <w:sz w:val="16"/>
                <w:szCs w:val="16"/>
              </w:rPr>
            </w:pPr>
            <w:r w:rsidRPr="002C5D6A">
              <w:rPr>
                <w:sz w:val="16"/>
                <w:szCs w:val="16"/>
              </w:rPr>
              <w:t>H706</w:t>
            </w:r>
          </w:p>
        </w:tc>
        <w:tc>
          <w:tcPr>
            <w:tcW w:w="975" w:type="dxa"/>
            <w:shd w:val="clear" w:color="auto" w:fill="D9E2F3" w:themeFill="accent1" w:themeFillTint="33"/>
            <w:noWrap/>
            <w:vAlign w:val="center"/>
            <w:hideMark/>
          </w:tcPr>
          <w:p w14:paraId="11EEBEE6" w14:textId="77777777" w:rsidR="00A7271A" w:rsidRPr="002C5D6A" w:rsidRDefault="00A7271A" w:rsidP="006E2F15">
            <w:pPr>
              <w:jc w:val="center"/>
              <w:rPr>
                <w:sz w:val="16"/>
                <w:szCs w:val="16"/>
              </w:rPr>
            </w:pPr>
            <w:r w:rsidRPr="002C5D6A">
              <w:rPr>
                <w:sz w:val="16"/>
                <w:szCs w:val="16"/>
              </w:rPr>
              <w:t>TAGGCATG</w:t>
            </w:r>
          </w:p>
        </w:tc>
        <w:tc>
          <w:tcPr>
            <w:tcW w:w="993" w:type="dxa"/>
            <w:shd w:val="clear" w:color="auto" w:fill="D9E2F3" w:themeFill="accent1" w:themeFillTint="33"/>
            <w:noWrap/>
            <w:vAlign w:val="center"/>
            <w:hideMark/>
          </w:tcPr>
          <w:p w14:paraId="0F1E2C77" w14:textId="77777777" w:rsidR="00A7271A" w:rsidRPr="002C5D6A" w:rsidRDefault="00A7271A" w:rsidP="006E2F15">
            <w:pPr>
              <w:jc w:val="center"/>
              <w:rPr>
                <w:sz w:val="16"/>
                <w:szCs w:val="16"/>
              </w:rPr>
            </w:pPr>
            <w:r w:rsidRPr="002C5D6A">
              <w:rPr>
                <w:sz w:val="16"/>
                <w:szCs w:val="16"/>
              </w:rPr>
              <w:t>H505</w:t>
            </w:r>
          </w:p>
        </w:tc>
        <w:tc>
          <w:tcPr>
            <w:tcW w:w="976" w:type="dxa"/>
            <w:shd w:val="clear" w:color="auto" w:fill="D9E2F3" w:themeFill="accent1" w:themeFillTint="33"/>
            <w:noWrap/>
            <w:vAlign w:val="center"/>
            <w:hideMark/>
          </w:tcPr>
          <w:p w14:paraId="139C7978" w14:textId="77777777" w:rsidR="00A7271A" w:rsidRPr="002C5D6A" w:rsidRDefault="00A7271A" w:rsidP="006E2F15">
            <w:pPr>
              <w:jc w:val="center"/>
              <w:rPr>
                <w:sz w:val="16"/>
                <w:szCs w:val="16"/>
              </w:rPr>
            </w:pPr>
            <w:r w:rsidRPr="002C5D6A">
              <w:rPr>
                <w:sz w:val="16"/>
                <w:szCs w:val="16"/>
              </w:rPr>
              <w:t>GTAAGGAG</w:t>
            </w:r>
          </w:p>
        </w:tc>
      </w:tr>
      <w:tr w:rsidR="00A7271A" w:rsidRPr="002C5D6A" w14:paraId="0C0BAAE5" w14:textId="77777777" w:rsidTr="006E2F15">
        <w:trPr>
          <w:trHeight w:val="295"/>
        </w:trPr>
        <w:tc>
          <w:tcPr>
            <w:tcW w:w="1641" w:type="dxa"/>
            <w:shd w:val="clear" w:color="auto" w:fill="D9E2F3" w:themeFill="accent1" w:themeFillTint="33"/>
            <w:noWrap/>
            <w:vAlign w:val="center"/>
            <w:hideMark/>
          </w:tcPr>
          <w:p w14:paraId="387B5463" w14:textId="77777777" w:rsidR="00A7271A" w:rsidRPr="002C5D6A" w:rsidRDefault="00A7271A" w:rsidP="006E2F15">
            <w:pPr>
              <w:jc w:val="center"/>
              <w:rPr>
                <w:sz w:val="16"/>
                <w:szCs w:val="16"/>
              </w:rPr>
            </w:pPr>
            <w:r w:rsidRPr="002C5D6A">
              <w:rPr>
                <w:sz w:val="16"/>
                <w:szCs w:val="16"/>
              </w:rPr>
              <w:t>KLEB_CRE_GSH_0014</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E613CCB" w14:textId="77777777" w:rsidR="00A7271A" w:rsidRPr="0029011F" w:rsidRDefault="00A7271A" w:rsidP="006E2F15">
            <w:pPr>
              <w:jc w:val="center"/>
              <w:rPr>
                <w:sz w:val="16"/>
                <w:szCs w:val="16"/>
              </w:rPr>
            </w:pPr>
            <w:r w:rsidRPr="0029011F">
              <w:rPr>
                <w:rFonts w:ascii="Calibri" w:hAnsi="Calibri" w:cs="Calibri"/>
                <w:color w:val="000000"/>
                <w:sz w:val="16"/>
                <w:szCs w:val="16"/>
              </w:rPr>
              <w:t xml:space="preserve">Klebsiella pneumoniae </w:t>
            </w:r>
            <w:proofErr w:type="spellStart"/>
            <w:r w:rsidRPr="0029011F">
              <w:rPr>
                <w:rFonts w:ascii="Calibri" w:hAnsi="Calibri" w:cs="Calibri"/>
                <w:color w:val="000000"/>
                <w:sz w:val="16"/>
                <w:szCs w:val="16"/>
              </w:rPr>
              <w:t>subsp</w:t>
            </w:r>
            <w:proofErr w:type="spellEnd"/>
            <w:r w:rsidRPr="0029011F">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236627FE"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2118F2A6"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552186B2" w14:textId="77777777" w:rsidR="00A7271A" w:rsidRPr="002C5D6A" w:rsidRDefault="00A7271A" w:rsidP="006E2F15">
            <w:pPr>
              <w:jc w:val="center"/>
              <w:rPr>
                <w:sz w:val="16"/>
                <w:szCs w:val="16"/>
              </w:rPr>
            </w:pPr>
            <w:r w:rsidRPr="002C5D6A">
              <w:rPr>
                <w:sz w:val="16"/>
                <w:szCs w:val="16"/>
              </w:rPr>
              <w:t>H707</w:t>
            </w:r>
          </w:p>
        </w:tc>
        <w:tc>
          <w:tcPr>
            <w:tcW w:w="975" w:type="dxa"/>
            <w:shd w:val="clear" w:color="auto" w:fill="D9E2F3" w:themeFill="accent1" w:themeFillTint="33"/>
            <w:noWrap/>
            <w:vAlign w:val="center"/>
            <w:hideMark/>
          </w:tcPr>
          <w:p w14:paraId="023943F1" w14:textId="77777777" w:rsidR="00A7271A" w:rsidRPr="002C5D6A" w:rsidRDefault="00A7271A" w:rsidP="006E2F15">
            <w:pPr>
              <w:jc w:val="center"/>
              <w:rPr>
                <w:sz w:val="16"/>
                <w:szCs w:val="16"/>
              </w:rPr>
            </w:pPr>
            <w:r w:rsidRPr="002C5D6A">
              <w:rPr>
                <w:sz w:val="16"/>
                <w:szCs w:val="16"/>
              </w:rPr>
              <w:t>CTCTCTAC</w:t>
            </w:r>
          </w:p>
        </w:tc>
        <w:tc>
          <w:tcPr>
            <w:tcW w:w="993" w:type="dxa"/>
            <w:shd w:val="clear" w:color="auto" w:fill="D9E2F3" w:themeFill="accent1" w:themeFillTint="33"/>
            <w:noWrap/>
            <w:vAlign w:val="center"/>
            <w:hideMark/>
          </w:tcPr>
          <w:p w14:paraId="69F02FE4" w14:textId="77777777" w:rsidR="00A7271A" w:rsidRPr="002C5D6A" w:rsidRDefault="00A7271A" w:rsidP="006E2F15">
            <w:pPr>
              <w:jc w:val="center"/>
              <w:rPr>
                <w:sz w:val="16"/>
                <w:szCs w:val="16"/>
              </w:rPr>
            </w:pPr>
            <w:r w:rsidRPr="002C5D6A">
              <w:rPr>
                <w:sz w:val="16"/>
                <w:szCs w:val="16"/>
              </w:rPr>
              <w:t>H505</w:t>
            </w:r>
          </w:p>
        </w:tc>
        <w:tc>
          <w:tcPr>
            <w:tcW w:w="976" w:type="dxa"/>
            <w:shd w:val="clear" w:color="auto" w:fill="D9E2F3" w:themeFill="accent1" w:themeFillTint="33"/>
            <w:noWrap/>
            <w:vAlign w:val="center"/>
            <w:hideMark/>
          </w:tcPr>
          <w:p w14:paraId="3E6A38A3" w14:textId="77777777" w:rsidR="00A7271A" w:rsidRPr="002C5D6A" w:rsidRDefault="00A7271A" w:rsidP="006E2F15">
            <w:pPr>
              <w:jc w:val="center"/>
              <w:rPr>
                <w:sz w:val="16"/>
                <w:szCs w:val="16"/>
              </w:rPr>
            </w:pPr>
            <w:r w:rsidRPr="002C5D6A">
              <w:rPr>
                <w:sz w:val="16"/>
                <w:szCs w:val="16"/>
              </w:rPr>
              <w:t>GTAAGGAG</w:t>
            </w:r>
          </w:p>
        </w:tc>
      </w:tr>
      <w:tr w:rsidR="00A7271A" w:rsidRPr="002C5D6A" w14:paraId="5FEAA946" w14:textId="77777777" w:rsidTr="006E2F15">
        <w:trPr>
          <w:trHeight w:val="295"/>
        </w:trPr>
        <w:tc>
          <w:tcPr>
            <w:tcW w:w="1641" w:type="dxa"/>
            <w:shd w:val="clear" w:color="auto" w:fill="D9E2F3" w:themeFill="accent1" w:themeFillTint="33"/>
            <w:noWrap/>
            <w:vAlign w:val="center"/>
            <w:hideMark/>
          </w:tcPr>
          <w:p w14:paraId="36A7D953" w14:textId="77777777" w:rsidR="00A7271A" w:rsidRPr="002C5D6A" w:rsidRDefault="00A7271A" w:rsidP="006E2F15">
            <w:pPr>
              <w:jc w:val="center"/>
              <w:rPr>
                <w:sz w:val="16"/>
                <w:szCs w:val="16"/>
              </w:rPr>
            </w:pPr>
            <w:r w:rsidRPr="002C5D6A">
              <w:rPr>
                <w:sz w:val="16"/>
                <w:szCs w:val="16"/>
              </w:rPr>
              <w:t>KLEB_CRE_GSH_0015</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0491F97" w14:textId="77777777" w:rsidR="00A7271A" w:rsidRPr="0029011F" w:rsidRDefault="00A7271A" w:rsidP="006E2F15">
            <w:pPr>
              <w:jc w:val="center"/>
              <w:rPr>
                <w:sz w:val="16"/>
                <w:szCs w:val="16"/>
              </w:rPr>
            </w:pPr>
            <w:r w:rsidRPr="0029011F">
              <w:rPr>
                <w:rFonts w:ascii="Calibri" w:hAnsi="Calibri" w:cs="Calibri"/>
                <w:color w:val="000000"/>
                <w:sz w:val="16"/>
                <w:szCs w:val="16"/>
              </w:rPr>
              <w:t xml:space="preserve">Klebsiella pneumoniae </w:t>
            </w:r>
            <w:proofErr w:type="spellStart"/>
            <w:r w:rsidRPr="0029011F">
              <w:rPr>
                <w:rFonts w:ascii="Calibri" w:hAnsi="Calibri" w:cs="Calibri"/>
                <w:color w:val="000000"/>
                <w:sz w:val="16"/>
                <w:szCs w:val="16"/>
              </w:rPr>
              <w:t>subsp</w:t>
            </w:r>
            <w:proofErr w:type="spellEnd"/>
            <w:r w:rsidRPr="0029011F">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704DC6E8"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72D4B76D"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658DC842" w14:textId="77777777" w:rsidR="00A7271A" w:rsidRPr="002C5D6A" w:rsidRDefault="00A7271A" w:rsidP="006E2F15">
            <w:pPr>
              <w:jc w:val="center"/>
              <w:rPr>
                <w:sz w:val="16"/>
                <w:szCs w:val="16"/>
              </w:rPr>
            </w:pPr>
            <w:r w:rsidRPr="002C5D6A">
              <w:rPr>
                <w:sz w:val="16"/>
                <w:szCs w:val="16"/>
              </w:rPr>
              <w:t>H710</w:t>
            </w:r>
          </w:p>
        </w:tc>
        <w:tc>
          <w:tcPr>
            <w:tcW w:w="975" w:type="dxa"/>
            <w:shd w:val="clear" w:color="auto" w:fill="D9E2F3" w:themeFill="accent1" w:themeFillTint="33"/>
            <w:noWrap/>
            <w:vAlign w:val="center"/>
            <w:hideMark/>
          </w:tcPr>
          <w:p w14:paraId="0B4868F7" w14:textId="77777777" w:rsidR="00A7271A" w:rsidRPr="002C5D6A" w:rsidRDefault="00A7271A" w:rsidP="006E2F15">
            <w:pPr>
              <w:jc w:val="center"/>
              <w:rPr>
                <w:sz w:val="16"/>
                <w:szCs w:val="16"/>
              </w:rPr>
            </w:pPr>
            <w:r w:rsidRPr="002C5D6A">
              <w:rPr>
                <w:sz w:val="16"/>
                <w:szCs w:val="16"/>
              </w:rPr>
              <w:t>CGAGGCTG</w:t>
            </w:r>
          </w:p>
        </w:tc>
        <w:tc>
          <w:tcPr>
            <w:tcW w:w="993" w:type="dxa"/>
            <w:shd w:val="clear" w:color="auto" w:fill="D9E2F3" w:themeFill="accent1" w:themeFillTint="33"/>
            <w:noWrap/>
            <w:vAlign w:val="center"/>
            <w:hideMark/>
          </w:tcPr>
          <w:p w14:paraId="73EF8F2A" w14:textId="77777777" w:rsidR="00A7271A" w:rsidRPr="002C5D6A" w:rsidRDefault="00A7271A" w:rsidP="006E2F15">
            <w:pPr>
              <w:jc w:val="center"/>
              <w:rPr>
                <w:sz w:val="16"/>
                <w:szCs w:val="16"/>
              </w:rPr>
            </w:pPr>
            <w:r w:rsidRPr="002C5D6A">
              <w:rPr>
                <w:sz w:val="16"/>
                <w:szCs w:val="16"/>
              </w:rPr>
              <w:t>H505</w:t>
            </w:r>
          </w:p>
        </w:tc>
        <w:tc>
          <w:tcPr>
            <w:tcW w:w="976" w:type="dxa"/>
            <w:shd w:val="clear" w:color="auto" w:fill="D9E2F3" w:themeFill="accent1" w:themeFillTint="33"/>
            <w:noWrap/>
            <w:vAlign w:val="center"/>
            <w:hideMark/>
          </w:tcPr>
          <w:p w14:paraId="48542A61" w14:textId="77777777" w:rsidR="00A7271A" w:rsidRPr="002C5D6A" w:rsidRDefault="00A7271A" w:rsidP="006E2F15">
            <w:pPr>
              <w:jc w:val="center"/>
              <w:rPr>
                <w:sz w:val="16"/>
                <w:szCs w:val="16"/>
              </w:rPr>
            </w:pPr>
            <w:r w:rsidRPr="002C5D6A">
              <w:rPr>
                <w:sz w:val="16"/>
                <w:szCs w:val="16"/>
              </w:rPr>
              <w:t>GTAAGGAG</w:t>
            </w:r>
          </w:p>
        </w:tc>
      </w:tr>
      <w:tr w:rsidR="00A7271A" w:rsidRPr="002C5D6A" w14:paraId="08A58A11" w14:textId="77777777" w:rsidTr="006E2F15">
        <w:trPr>
          <w:trHeight w:val="295"/>
        </w:trPr>
        <w:tc>
          <w:tcPr>
            <w:tcW w:w="1641" w:type="dxa"/>
            <w:shd w:val="clear" w:color="auto" w:fill="D9E2F3" w:themeFill="accent1" w:themeFillTint="33"/>
            <w:noWrap/>
            <w:vAlign w:val="center"/>
            <w:hideMark/>
          </w:tcPr>
          <w:p w14:paraId="486CBAB2" w14:textId="77777777" w:rsidR="00A7271A" w:rsidRPr="002C5D6A" w:rsidRDefault="00A7271A" w:rsidP="006E2F15">
            <w:pPr>
              <w:jc w:val="center"/>
              <w:rPr>
                <w:sz w:val="16"/>
                <w:szCs w:val="16"/>
              </w:rPr>
            </w:pPr>
            <w:r w:rsidRPr="002C5D6A">
              <w:rPr>
                <w:sz w:val="16"/>
                <w:szCs w:val="16"/>
              </w:rPr>
              <w:t>KLEB_CRE_GSH_0016</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0E431775" w14:textId="77777777" w:rsidR="00A7271A" w:rsidRPr="0029011F" w:rsidRDefault="00A7271A" w:rsidP="006E2F15">
            <w:pPr>
              <w:jc w:val="center"/>
              <w:rPr>
                <w:sz w:val="16"/>
                <w:szCs w:val="16"/>
              </w:rPr>
            </w:pPr>
            <w:r w:rsidRPr="0029011F">
              <w:rPr>
                <w:rFonts w:ascii="Calibri" w:hAnsi="Calibri" w:cs="Calibri"/>
                <w:color w:val="000000"/>
                <w:sz w:val="16"/>
                <w:szCs w:val="16"/>
              </w:rPr>
              <w:t xml:space="preserve">Klebsiella pneumoniae </w:t>
            </w:r>
            <w:proofErr w:type="spellStart"/>
            <w:r w:rsidRPr="0029011F">
              <w:rPr>
                <w:rFonts w:ascii="Calibri" w:hAnsi="Calibri" w:cs="Calibri"/>
                <w:color w:val="000000"/>
                <w:sz w:val="16"/>
                <w:szCs w:val="16"/>
              </w:rPr>
              <w:t>subsp</w:t>
            </w:r>
            <w:proofErr w:type="spellEnd"/>
            <w:r w:rsidRPr="0029011F">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3EE7A059" w14:textId="77777777" w:rsidR="00A7271A" w:rsidRPr="00107F23" w:rsidRDefault="00A7271A" w:rsidP="006E2F15">
            <w:pPr>
              <w:jc w:val="center"/>
              <w:rPr>
                <w:color w:val="FF0000"/>
                <w:sz w:val="16"/>
                <w:szCs w:val="16"/>
              </w:rPr>
            </w:pPr>
            <w:r w:rsidRPr="00107F23">
              <w:rPr>
                <w:color w:val="FF0000"/>
                <w:sz w:val="16"/>
                <w:szCs w:val="16"/>
              </w:rPr>
              <w:t>GSH</w:t>
            </w:r>
          </w:p>
        </w:tc>
        <w:tc>
          <w:tcPr>
            <w:tcW w:w="851" w:type="dxa"/>
            <w:shd w:val="clear" w:color="auto" w:fill="D9E2F3" w:themeFill="accent1" w:themeFillTint="33"/>
            <w:vAlign w:val="center"/>
          </w:tcPr>
          <w:p w14:paraId="56FF3CB0" w14:textId="77777777" w:rsidR="00A7271A" w:rsidRPr="002003F2" w:rsidRDefault="00A7271A" w:rsidP="006E2F15">
            <w:pPr>
              <w:jc w:val="center"/>
              <w:rPr>
                <w:color w:val="4472C4" w:themeColor="accent1"/>
                <w:sz w:val="16"/>
                <w:szCs w:val="16"/>
              </w:rPr>
            </w:pPr>
            <w:r w:rsidRPr="002003F2">
              <w:rPr>
                <w:color w:val="4472C4" w:themeColor="accent1"/>
                <w:sz w:val="16"/>
                <w:szCs w:val="16"/>
              </w:rPr>
              <w:t>Pool A</w:t>
            </w:r>
          </w:p>
        </w:tc>
        <w:tc>
          <w:tcPr>
            <w:tcW w:w="993" w:type="dxa"/>
            <w:shd w:val="clear" w:color="auto" w:fill="D9E2F3" w:themeFill="accent1" w:themeFillTint="33"/>
            <w:noWrap/>
            <w:vAlign w:val="center"/>
            <w:hideMark/>
          </w:tcPr>
          <w:p w14:paraId="18C81B49" w14:textId="77777777" w:rsidR="00A7271A" w:rsidRPr="002C5D6A" w:rsidRDefault="00A7271A" w:rsidP="006E2F15">
            <w:pPr>
              <w:jc w:val="center"/>
              <w:rPr>
                <w:sz w:val="16"/>
                <w:szCs w:val="16"/>
              </w:rPr>
            </w:pPr>
            <w:r w:rsidRPr="002C5D6A">
              <w:rPr>
                <w:sz w:val="16"/>
                <w:szCs w:val="16"/>
              </w:rPr>
              <w:t>H711</w:t>
            </w:r>
          </w:p>
        </w:tc>
        <w:tc>
          <w:tcPr>
            <w:tcW w:w="975" w:type="dxa"/>
            <w:shd w:val="clear" w:color="auto" w:fill="D9E2F3" w:themeFill="accent1" w:themeFillTint="33"/>
            <w:noWrap/>
            <w:vAlign w:val="center"/>
            <w:hideMark/>
          </w:tcPr>
          <w:p w14:paraId="4FCB6FD9" w14:textId="77777777" w:rsidR="00A7271A" w:rsidRPr="002C5D6A" w:rsidRDefault="00A7271A" w:rsidP="006E2F15">
            <w:pPr>
              <w:jc w:val="center"/>
              <w:rPr>
                <w:sz w:val="16"/>
                <w:szCs w:val="16"/>
              </w:rPr>
            </w:pPr>
            <w:r w:rsidRPr="002C5D6A">
              <w:rPr>
                <w:sz w:val="16"/>
                <w:szCs w:val="16"/>
              </w:rPr>
              <w:t>AAGAGGCA</w:t>
            </w:r>
          </w:p>
        </w:tc>
        <w:tc>
          <w:tcPr>
            <w:tcW w:w="993" w:type="dxa"/>
            <w:shd w:val="clear" w:color="auto" w:fill="D9E2F3" w:themeFill="accent1" w:themeFillTint="33"/>
            <w:noWrap/>
            <w:vAlign w:val="center"/>
            <w:hideMark/>
          </w:tcPr>
          <w:p w14:paraId="4A8EB7BD" w14:textId="77777777" w:rsidR="00A7271A" w:rsidRPr="002C5D6A" w:rsidRDefault="00A7271A" w:rsidP="006E2F15">
            <w:pPr>
              <w:jc w:val="center"/>
              <w:rPr>
                <w:sz w:val="16"/>
                <w:szCs w:val="16"/>
              </w:rPr>
            </w:pPr>
            <w:r w:rsidRPr="002C5D6A">
              <w:rPr>
                <w:sz w:val="16"/>
                <w:szCs w:val="16"/>
              </w:rPr>
              <w:t>H505</w:t>
            </w:r>
          </w:p>
        </w:tc>
        <w:tc>
          <w:tcPr>
            <w:tcW w:w="976" w:type="dxa"/>
            <w:shd w:val="clear" w:color="auto" w:fill="D9E2F3" w:themeFill="accent1" w:themeFillTint="33"/>
            <w:noWrap/>
            <w:vAlign w:val="center"/>
            <w:hideMark/>
          </w:tcPr>
          <w:p w14:paraId="602BBAAE" w14:textId="77777777" w:rsidR="00A7271A" w:rsidRPr="002C5D6A" w:rsidRDefault="00A7271A" w:rsidP="006E2F15">
            <w:pPr>
              <w:jc w:val="center"/>
              <w:rPr>
                <w:sz w:val="16"/>
                <w:szCs w:val="16"/>
              </w:rPr>
            </w:pPr>
            <w:r w:rsidRPr="002C5D6A">
              <w:rPr>
                <w:sz w:val="16"/>
                <w:szCs w:val="16"/>
              </w:rPr>
              <w:t>GTAAGGAG</w:t>
            </w:r>
          </w:p>
        </w:tc>
      </w:tr>
      <w:tr w:rsidR="00A7271A" w:rsidRPr="00DC2901" w14:paraId="65E27FE8" w14:textId="77777777" w:rsidTr="006E2F15">
        <w:trPr>
          <w:trHeight w:val="295"/>
        </w:trPr>
        <w:tc>
          <w:tcPr>
            <w:tcW w:w="1641" w:type="dxa"/>
            <w:shd w:val="clear" w:color="auto" w:fill="D9E2F3" w:themeFill="accent1" w:themeFillTint="33"/>
            <w:noWrap/>
            <w:vAlign w:val="center"/>
            <w:hideMark/>
          </w:tcPr>
          <w:p w14:paraId="51AE7462"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KLEB_CRE_GSH_0018</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2CB3B503" w14:textId="77777777" w:rsidR="00A7271A" w:rsidRPr="00DC2901" w:rsidRDefault="00A7271A" w:rsidP="006E2F15">
            <w:pPr>
              <w:jc w:val="center"/>
              <w:rPr>
                <w:rFonts w:ascii="Calibri" w:eastAsia="Times New Roman" w:hAnsi="Calibri" w:cs="Calibri"/>
                <w:color w:val="000000"/>
                <w:sz w:val="16"/>
                <w:szCs w:val="16"/>
                <w:lang w:eastAsia="en-ZA"/>
              </w:rPr>
            </w:pPr>
            <w:r w:rsidRPr="0029011F">
              <w:rPr>
                <w:rFonts w:ascii="Calibri" w:hAnsi="Calibri" w:cs="Calibri"/>
                <w:color w:val="000000"/>
                <w:sz w:val="16"/>
                <w:szCs w:val="16"/>
              </w:rPr>
              <w:t xml:space="preserve">Klebsiella pneumoniae </w:t>
            </w:r>
            <w:proofErr w:type="spellStart"/>
            <w:r w:rsidRPr="0029011F">
              <w:rPr>
                <w:rFonts w:ascii="Calibri" w:hAnsi="Calibri" w:cs="Calibri"/>
                <w:color w:val="000000"/>
                <w:sz w:val="16"/>
                <w:szCs w:val="16"/>
              </w:rPr>
              <w:t>subsp</w:t>
            </w:r>
            <w:proofErr w:type="spellEnd"/>
            <w:r w:rsidRPr="0029011F">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0533ECAA" w14:textId="77777777" w:rsidR="00A7271A" w:rsidRPr="00107F23" w:rsidRDefault="00A7271A" w:rsidP="006E2F15">
            <w:pPr>
              <w:jc w:val="center"/>
              <w:rPr>
                <w:rFonts w:ascii="Calibri" w:eastAsia="Times New Roman" w:hAnsi="Calibri" w:cs="Calibri"/>
                <w:color w:val="FF0000"/>
                <w:sz w:val="16"/>
                <w:szCs w:val="16"/>
                <w:lang w:eastAsia="en-ZA"/>
              </w:rPr>
            </w:pPr>
            <w:r w:rsidRPr="00107F23">
              <w:rPr>
                <w:color w:val="FF0000"/>
                <w:sz w:val="16"/>
                <w:szCs w:val="16"/>
              </w:rPr>
              <w:t>GSH</w:t>
            </w:r>
          </w:p>
        </w:tc>
        <w:tc>
          <w:tcPr>
            <w:tcW w:w="851" w:type="dxa"/>
            <w:shd w:val="clear" w:color="auto" w:fill="D9E2F3" w:themeFill="accent1" w:themeFillTint="33"/>
            <w:vAlign w:val="center"/>
          </w:tcPr>
          <w:p w14:paraId="340AEE8E"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226E8B4A"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H714</w:t>
            </w:r>
          </w:p>
        </w:tc>
        <w:tc>
          <w:tcPr>
            <w:tcW w:w="975" w:type="dxa"/>
            <w:shd w:val="clear" w:color="auto" w:fill="D9E2F3" w:themeFill="accent1" w:themeFillTint="33"/>
            <w:noWrap/>
            <w:vAlign w:val="center"/>
            <w:hideMark/>
          </w:tcPr>
          <w:p w14:paraId="05E25739"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GCTCATGA</w:t>
            </w:r>
          </w:p>
        </w:tc>
        <w:tc>
          <w:tcPr>
            <w:tcW w:w="993" w:type="dxa"/>
            <w:shd w:val="clear" w:color="auto" w:fill="D9E2F3" w:themeFill="accent1" w:themeFillTint="33"/>
            <w:noWrap/>
            <w:vAlign w:val="center"/>
            <w:hideMark/>
          </w:tcPr>
          <w:p w14:paraId="5738E82B"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H505</w:t>
            </w:r>
          </w:p>
        </w:tc>
        <w:tc>
          <w:tcPr>
            <w:tcW w:w="976" w:type="dxa"/>
            <w:shd w:val="clear" w:color="auto" w:fill="D9E2F3" w:themeFill="accent1" w:themeFillTint="33"/>
            <w:noWrap/>
            <w:vAlign w:val="center"/>
            <w:hideMark/>
          </w:tcPr>
          <w:p w14:paraId="3D2F97E2"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GTAAGGAG</w:t>
            </w:r>
          </w:p>
        </w:tc>
      </w:tr>
      <w:tr w:rsidR="00A7271A" w:rsidRPr="00DC2901" w14:paraId="15A902D7" w14:textId="77777777" w:rsidTr="006E2F15">
        <w:trPr>
          <w:trHeight w:val="295"/>
        </w:trPr>
        <w:tc>
          <w:tcPr>
            <w:tcW w:w="1641" w:type="dxa"/>
            <w:shd w:val="clear" w:color="auto" w:fill="D9E2F3" w:themeFill="accent1" w:themeFillTint="33"/>
            <w:noWrap/>
            <w:vAlign w:val="center"/>
            <w:hideMark/>
          </w:tcPr>
          <w:p w14:paraId="3D51DA12"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KLEB_CRE_GSH_0019</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0827C8DF" w14:textId="77777777" w:rsidR="00A7271A" w:rsidRPr="00DC2901" w:rsidRDefault="00A7271A" w:rsidP="006E2F15">
            <w:pPr>
              <w:jc w:val="center"/>
              <w:rPr>
                <w:rFonts w:ascii="Calibri" w:eastAsia="Times New Roman" w:hAnsi="Calibri" w:cs="Calibri"/>
                <w:color w:val="000000"/>
                <w:sz w:val="16"/>
                <w:szCs w:val="16"/>
                <w:lang w:eastAsia="en-ZA"/>
              </w:rPr>
            </w:pPr>
            <w:r w:rsidRPr="0029011F">
              <w:rPr>
                <w:rFonts w:ascii="Calibri" w:hAnsi="Calibri" w:cs="Calibri"/>
                <w:color w:val="000000"/>
                <w:sz w:val="16"/>
                <w:szCs w:val="16"/>
              </w:rPr>
              <w:t xml:space="preserve">Klebsiella pneumoniae </w:t>
            </w:r>
            <w:proofErr w:type="spellStart"/>
            <w:r w:rsidRPr="0029011F">
              <w:rPr>
                <w:rFonts w:ascii="Calibri" w:hAnsi="Calibri" w:cs="Calibri"/>
                <w:color w:val="000000"/>
                <w:sz w:val="16"/>
                <w:szCs w:val="16"/>
              </w:rPr>
              <w:t>subsp</w:t>
            </w:r>
            <w:proofErr w:type="spellEnd"/>
            <w:r w:rsidRPr="0029011F">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7951CECD" w14:textId="77777777" w:rsidR="00A7271A" w:rsidRPr="00107F23" w:rsidRDefault="00A7271A" w:rsidP="006E2F15">
            <w:pPr>
              <w:jc w:val="center"/>
              <w:rPr>
                <w:rFonts w:ascii="Calibri" w:eastAsia="Times New Roman" w:hAnsi="Calibri" w:cs="Calibri"/>
                <w:color w:val="FF0000"/>
                <w:sz w:val="16"/>
                <w:szCs w:val="16"/>
                <w:lang w:eastAsia="en-ZA"/>
              </w:rPr>
            </w:pPr>
            <w:r w:rsidRPr="00107F23">
              <w:rPr>
                <w:color w:val="FF0000"/>
                <w:sz w:val="16"/>
                <w:szCs w:val="16"/>
              </w:rPr>
              <w:t>GSH</w:t>
            </w:r>
          </w:p>
        </w:tc>
        <w:tc>
          <w:tcPr>
            <w:tcW w:w="851" w:type="dxa"/>
            <w:shd w:val="clear" w:color="auto" w:fill="D9E2F3" w:themeFill="accent1" w:themeFillTint="33"/>
            <w:vAlign w:val="center"/>
          </w:tcPr>
          <w:p w14:paraId="52778CBA"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4F5E97F5"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H705</w:t>
            </w:r>
          </w:p>
        </w:tc>
        <w:tc>
          <w:tcPr>
            <w:tcW w:w="975" w:type="dxa"/>
            <w:shd w:val="clear" w:color="auto" w:fill="D9E2F3" w:themeFill="accent1" w:themeFillTint="33"/>
            <w:noWrap/>
            <w:vAlign w:val="center"/>
            <w:hideMark/>
          </w:tcPr>
          <w:p w14:paraId="7AF86A6B"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GGACTCCT</w:t>
            </w:r>
          </w:p>
        </w:tc>
        <w:tc>
          <w:tcPr>
            <w:tcW w:w="993" w:type="dxa"/>
            <w:shd w:val="clear" w:color="auto" w:fill="D9E2F3" w:themeFill="accent1" w:themeFillTint="33"/>
            <w:noWrap/>
            <w:vAlign w:val="center"/>
            <w:hideMark/>
          </w:tcPr>
          <w:p w14:paraId="2717719A"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H506</w:t>
            </w:r>
          </w:p>
        </w:tc>
        <w:tc>
          <w:tcPr>
            <w:tcW w:w="976" w:type="dxa"/>
            <w:shd w:val="clear" w:color="auto" w:fill="D9E2F3" w:themeFill="accent1" w:themeFillTint="33"/>
            <w:noWrap/>
            <w:vAlign w:val="center"/>
            <w:hideMark/>
          </w:tcPr>
          <w:p w14:paraId="496DD59F"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ACTGCATA</w:t>
            </w:r>
          </w:p>
        </w:tc>
      </w:tr>
      <w:tr w:rsidR="00A7271A" w:rsidRPr="00DC2901" w14:paraId="4B0DC223" w14:textId="77777777" w:rsidTr="006E2F15">
        <w:trPr>
          <w:trHeight w:val="295"/>
        </w:trPr>
        <w:tc>
          <w:tcPr>
            <w:tcW w:w="1641" w:type="dxa"/>
            <w:shd w:val="clear" w:color="auto" w:fill="E2EFD9" w:themeFill="accent6" w:themeFillTint="33"/>
            <w:noWrap/>
            <w:vAlign w:val="center"/>
            <w:hideMark/>
          </w:tcPr>
          <w:p w14:paraId="0FDEAFED"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SERR_CRE_GSH_0021</w:t>
            </w:r>
          </w:p>
        </w:t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D0FC4F4"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Serratia marcescens</w:t>
            </w:r>
          </w:p>
        </w:tc>
        <w:tc>
          <w:tcPr>
            <w:tcW w:w="769" w:type="dxa"/>
            <w:shd w:val="clear" w:color="auto" w:fill="E2EFD9" w:themeFill="accent6" w:themeFillTint="33"/>
            <w:vAlign w:val="center"/>
          </w:tcPr>
          <w:p w14:paraId="1103A4C7" w14:textId="77777777" w:rsidR="00A7271A" w:rsidRPr="00107F23" w:rsidRDefault="00A7271A" w:rsidP="006E2F15">
            <w:pPr>
              <w:jc w:val="center"/>
              <w:rPr>
                <w:rFonts w:ascii="Calibri" w:eastAsia="Times New Roman" w:hAnsi="Calibri" w:cs="Calibri"/>
                <w:color w:val="FF0000"/>
                <w:sz w:val="16"/>
                <w:szCs w:val="16"/>
                <w:lang w:eastAsia="en-ZA"/>
              </w:rPr>
            </w:pPr>
            <w:r w:rsidRPr="00107F23">
              <w:rPr>
                <w:color w:val="FF0000"/>
                <w:sz w:val="16"/>
                <w:szCs w:val="16"/>
              </w:rPr>
              <w:t>GSH</w:t>
            </w:r>
          </w:p>
        </w:tc>
        <w:tc>
          <w:tcPr>
            <w:tcW w:w="851" w:type="dxa"/>
            <w:shd w:val="clear" w:color="auto" w:fill="E2EFD9" w:themeFill="accent6" w:themeFillTint="33"/>
            <w:vAlign w:val="center"/>
          </w:tcPr>
          <w:p w14:paraId="53D51B91"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E2EFD9" w:themeFill="accent6" w:themeFillTint="33"/>
            <w:noWrap/>
            <w:vAlign w:val="center"/>
            <w:hideMark/>
          </w:tcPr>
          <w:p w14:paraId="318F6923"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H706</w:t>
            </w:r>
          </w:p>
        </w:tc>
        <w:tc>
          <w:tcPr>
            <w:tcW w:w="975" w:type="dxa"/>
            <w:shd w:val="clear" w:color="auto" w:fill="E2EFD9" w:themeFill="accent6" w:themeFillTint="33"/>
            <w:noWrap/>
            <w:vAlign w:val="center"/>
            <w:hideMark/>
          </w:tcPr>
          <w:p w14:paraId="65C126EC"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TAGGCATG</w:t>
            </w:r>
          </w:p>
        </w:tc>
        <w:tc>
          <w:tcPr>
            <w:tcW w:w="993" w:type="dxa"/>
            <w:shd w:val="clear" w:color="auto" w:fill="E2EFD9" w:themeFill="accent6" w:themeFillTint="33"/>
            <w:noWrap/>
            <w:vAlign w:val="center"/>
            <w:hideMark/>
          </w:tcPr>
          <w:p w14:paraId="3DFF2951"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H506</w:t>
            </w:r>
          </w:p>
        </w:tc>
        <w:tc>
          <w:tcPr>
            <w:tcW w:w="976" w:type="dxa"/>
            <w:shd w:val="clear" w:color="auto" w:fill="E2EFD9" w:themeFill="accent6" w:themeFillTint="33"/>
            <w:noWrap/>
            <w:vAlign w:val="center"/>
            <w:hideMark/>
          </w:tcPr>
          <w:p w14:paraId="00E0CC64"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ACTGCATA</w:t>
            </w:r>
          </w:p>
        </w:tc>
      </w:tr>
      <w:tr w:rsidR="00A7271A" w:rsidRPr="00DC2901" w14:paraId="49D3782B" w14:textId="77777777" w:rsidTr="006E2F15">
        <w:trPr>
          <w:trHeight w:val="295"/>
        </w:trPr>
        <w:tc>
          <w:tcPr>
            <w:tcW w:w="1641" w:type="dxa"/>
            <w:shd w:val="clear" w:color="auto" w:fill="D9E2F3" w:themeFill="accent1" w:themeFillTint="33"/>
            <w:noWrap/>
            <w:vAlign w:val="center"/>
            <w:hideMark/>
          </w:tcPr>
          <w:p w14:paraId="69DDA031"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KLEB_CRE_GSH_0022</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657572E"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 xml:space="preserve">Klebsiella pneumoniae </w:t>
            </w:r>
            <w:proofErr w:type="spellStart"/>
            <w:r w:rsidRPr="002003F2">
              <w:rPr>
                <w:rFonts w:ascii="Calibri" w:hAnsi="Calibri" w:cs="Calibri"/>
                <w:color w:val="000000"/>
                <w:sz w:val="16"/>
                <w:szCs w:val="16"/>
              </w:rPr>
              <w:t>subsp</w:t>
            </w:r>
            <w:proofErr w:type="spellEnd"/>
            <w:r w:rsidRPr="002003F2">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0FB888AF" w14:textId="77777777" w:rsidR="00A7271A" w:rsidRPr="00107F23" w:rsidRDefault="00A7271A" w:rsidP="006E2F15">
            <w:pPr>
              <w:jc w:val="center"/>
              <w:rPr>
                <w:rFonts w:ascii="Calibri" w:eastAsia="Times New Roman" w:hAnsi="Calibri" w:cs="Calibri"/>
                <w:color w:val="FF0000"/>
                <w:sz w:val="16"/>
                <w:szCs w:val="16"/>
                <w:lang w:eastAsia="en-ZA"/>
              </w:rPr>
            </w:pPr>
            <w:r w:rsidRPr="00107F23">
              <w:rPr>
                <w:color w:val="FF0000"/>
                <w:sz w:val="16"/>
                <w:szCs w:val="16"/>
              </w:rPr>
              <w:t>GSH</w:t>
            </w:r>
          </w:p>
        </w:tc>
        <w:tc>
          <w:tcPr>
            <w:tcW w:w="851" w:type="dxa"/>
            <w:shd w:val="clear" w:color="auto" w:fill="D9E2F3" w:themeFill="accent1" w:themeFillTint="33"/>
            <w:vAlign w:val="center"/>
          </w:tcPr>
          <w:p w14:paraId="3560568D"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4BE522CF"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H707</w:t>
            </w:r>
          </w:p>
        </w:tc>
        <w:tc>
          <w:tcPr>
            <w:tcW w:w="975" w:type="dxa"/>
            <w:shd w:val="clear" w:color="auto" w:fill="D9E2F3" w:themeFill="accent1" w:themeFillTint="33"/>
            <w:noWrap/>
            <w:vAlign w:val="center"/>
            <w:hideMark/>
          </w:tcPr>
          <w:p w14:paraId="307532E5"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CTCTCTAC</w:t>
            </w:r>
          </w:p>
        </w:tc>
        <w:tc>
          <w:tcPr>
            <w:tcW w:w="993" w:type="dxa"/>
            <w:shd w:val="clear" w:color="auto" w:fill="D9E2F3" w:themeFill="accent1" w:themeFillTint="33"/>
            <w:noWrap/>
            <w:vAlign w:val="center"/>
            <w:hideMark/>
          </w:tcPr>
          <w:p w14:paraId="1B2E50E9"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H506</w:t>
            </w:r>
          </w:p>
        </w:tc>
        <w:tc>
          <w:tcPr>
            <w:tcW w:w="976" w:type="dxa"/>
            <w:shd w:val="clear" w:color="auto" w:fill="D9E2F3" w:themeFill="accent1" w:themeFillTint="33"/>
            <w:noWrap/>
            <w:vAlign w:val="center"/>
            <w:hideMark/>
          </w:tcPr>
          <w:p w14:paraId="5AE2CCB1"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ACTGCATA</w:t>
            </w:r>
          </w:p>
        </w:tc>
      </w:tr>
      <w:tr w:rsidR="00A7271A" w:rsidRPr="00DC2901" w14:paraId="1C88400B" w14:textId="77777777" w:rsidTr="006E2F15">
        <w:trPr>
          <w:trHeight w:val="295"/>
        </w:trPr>
        <w:tc>
          <w:tcPr>
            <w:tcW w:w="1641" w:type="dxa"/>
            <w:shd w:val="clear" w:color="auto" w:fill="D9E2F3" w:themeFill="accent1" w:themeFillTint="33"/>
            <w:noWrap/>
            <w:vAlign w:val="center"/>
            <w:hideMark/>
          </w:tcPr>
          <w:p w14:paraId="50B5E99B"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KLEB_CRE_GSH_0023</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DCFACEF"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 xml:space="preserve">Klebsiella pneumoniae </w:t>
            </w:r>
            <w:proofErr w:type="spellStart"/>
            <w:r w:rsidRPr="002003F2">
              <w:rPr>
                <w:rFonts w:ascii="Calibri" w:hAnsi="Calibri" w:cs="Calibri"/>
                <w:color w:val="000000"/>
                <w:sz w:val="16"/>
                <w:szCs w:val="16"/>
              </w:rPr>
              <w:t>subsp</w:t>
            </w:r>
            <w:proofErr w:type="spellEnd"/>
            <w:r w:rsidRPr="002003F2">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532A2D8E" w14:textId="77777777" w:rsidR="00A7271A" w:rsidRPr="00107F23" w:rsidRDefault="00A7271A" w:rsidP="006E2F15">
            <w:pPr>
              <w:jc w:val="center"/>
              <w:rPr>
                <w:rFonts w:ascii="Calibri" w:eastAsia="Times New Roman" w:hAnsi="Calibri" w:cs="Calibri"/>
                <w:color w:val="FF0000"/>
                <w:sz w:val="16"/>
                <w:szCs w:val="16"/>
                <w:lang w:eastAsia="en-ZA"/>
              </w:rPr>
            </w:pPr>
            <w:r w:rsidRPr="00107F23">
              <w:rPr>
                <w:color w:val="FF0000"/>
                <w:sz w:val="16"/>
                <w:szCs w:val="16"/>
              </w:rPr>
              <w:t>GSH</w:t>
            </w:r>
          </w:p>
        </w:tc>
        <w:tc>
          <w:tcPr>
            <w:tcW w:w="851" w:type="dxa"/>
            <w:shd w:val="clear" w:color="auto" w:fill="D9E2F3" w:themeFill="accent1" w:themeFillTint="33"/>
            <w:vAlign w:val="center"/>
          </w:tcPr>
          <w:p w14:paraId="14228D9C"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0C9F582A"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H710</w:t>
            </w:r>
          </w:p>
        </w:tc>
        <w:tc>
          <w:tcPr>
            <w:tcW w:w="975" w:type="dxa"/>
            <w:shd w:val="clear" w:color="auto" w:fill="D9E2F3" w:themeFill="accent1" w:themeFillTint="33"/>
            <w:noWrap/>
            <w:vAlign w:val="center"/>
            <w:hideMark/>
          </w:tcPr>
          <w:p w14:paraId="58060977"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CGAGGCTG</w:t>
            </w:r>
          </w:p>
        </w:tc>
        <w:tc>
          <w:tcPr>
            <w:tcW w:w="993" w:type="dxa"/>
            <w:shd w:val="clear" w:color="auto" w:fill="D9E2F3" w:themeFill="accent1" w:themeFillTint="33"/>
            <w:noWrap/>
            <w:vAlign w:val="center"/>
            <w:hideMark/>
          </w:tcPr>
          <w:p w14:paraId="7AA5FBA2"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H506</w:t>
            </w:r>
          </w:p>
        </w:tc>
        <w:tc>
          <w:tcPr>
            <w:tcW w:w="976" w:type="dxa"/>
            <w:shd w:val="clear" w:color="auto" w:fill="D9E2F3" w:themeFill="accent1" w:themeFillTint="33"/>
            <w:noWrap/>
            <w:vAlign w:val="center"/>
            <w:hideMark/>
          </w:tcPr>
          <w:p w14:paraId="4CB37B26"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ACTGCATA</w:t>
            </w:r>
          </w:p>
        </w:tc>
      </w:tr>
      <w:tr w:rsidR="00A7271A" w:rsidRPr="00DC2901" w14:paraId="4163DB5D" w14:textId="77777777" w:rsidTr="006E2F15">
        <w:trPr>
          <w:trHeight w:val="295"/>
        </w:trPr>
        <w:tc>
          <w:tcPr>
            <w:tcW w:w="1641" w:type="dxa"/>
            <w:shd w:val="clear" w:color="auto" w:fill="E2EFD9" w:themeFill="accent6" w:themeFillTint="33"/>
            <w:noWrap/>
            <w:vAlign w:val="center"/>
            <w:hideMark/>
          </w:tcPr>
          <w:p w14:paraId="320D944E"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SERR_CRE_RXH_0002</w:t>
            </w:r>
          </w:p>
        </w:t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DFF318D"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Serratia marcescens</w:t>
            </w:r>
          </w:p>
        </w:tc>
        <w:tc>
          <w:tcPr>
            <w:tcW w:w="769" w:type="dxa"/>
            <w:shd w:val="clear" w:color="auto" w:fill="E2EFD9" w:themeFill="accent6" w:themeFillTint="33"/>
            <w:vAlign w:val="center"/>
          </w:tcPr>
          <w:p w14:paraId="521CD76C" w14:textId="77777777" w:rsidR="00A7271A" w:rsidRPr="00107F23" w:rsidRDefault="00A7271A" w:rsidP="006E2F15">
            <w:pPr>
              <w:jc w:val="center"/>
              <w:rPr>
                <w:rFonts w:ascii="Calibri" w:eastAsia="Times New Roman" w:hAnsi="Calibri" w:cs="Calibri"/>
                <w:color w:val="7030A0"/>
                <w:sz w:val="16"/>
                <w:szCs w:val="16"/>
                <w:lang w:eastAsia="en-ZA"/>
              </w:rPr>
            </w:pPr>
            <w:r w:rsidRPr="00107F23">
              <w:rPr>
                <w:rFonts w:ascii="Calibri" w:eastAsia="Times New Roman" w:hAnsi="Calibri" w:cs="Calibri"/>
                <w:color w:val="7030A0"/>
                <w:sz w:val="16"/>
                <w:szCs w:val="16"/>
                <w:lang w:eastAsia="en-ZA"/>
              </w:rPr>
              <w:t>RXH</w:t>
            </w:r>
          </w:p>
        </w:tc>
        <w:tc>
          <w:tcPr>
            <w:tcW w:w="851" w:type="dxa"/>
            <w:shd w:val="clear" w:color="auto" w:fill="E2EFD9" w:themeFill="accent6" w:themeFillTint="33"/>
            <w:vAlign w:val="center"/>
          </w:tcPr>
          <w:p w14:paraId="378124F9"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E2EFD9" w:themeFill="accent6" w:themeFillTint="33"/>
            <w:noWrap/>
            <w:vAlign w:val="center"/>
            <w:hideMark/>
          </w:tcPr>
          <w:p w14:paraId="70743D05"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H711</w:t>
            </w:r>
          </w:p>
        </w:tc>
        <w:tc>
          <w:tcPr>
            <w:tcW w:w="975" w:type="dxa"/>
            <w:shd w:val="clear" w:color="auto" w:fill="E2EFD9" w:themeFill="accent6" w:themeFillTint="33"/>
            <w:noWrap/>
            <w:vAlign w:val="center"/>
            <w:hideMark/>
          </w:tcPr>
          <w:p w14:paraId="3655DD7B"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AAGAGGCA</w:t>
            </w:r>
          </w:p>
        </w:tc>
        <w:tc>
          <w:tcPr>
            <w:tcW w:w="993" w:type="dxa"/>
            <w:shd w:val="clear" w:color="auto" w:fill="E2EFD9" w:themeFill="accent6" w:themeFillTint="33"/>
            <w:noWrap/>
            <w:vAlign w:val="center"/>
            <w:hideMark/>
          </w:tcPr>
          <w:p w14:paraId="171E8A7B"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H506</w:t>
            </w:r>
          </w:p>
        </w:tc>
        <w:tc>
          <w:tcPr>
            <w:tcW w:w="976" w:type="dxa"/>
            <w:shd w:val="clear" w:color="auto" w:fill="E2EFD9" w:themeFill="accent6" w:themeFillTint="33"/>
            <w:noWrap/>
            <w:vAlign w:val="center"/>
            <w:hideMark/>
          </w:tcPr>
          <w:p w14:paraId="09B35F83"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ACTGCATA</w:t>
            </w:r>
          </w:p>
        </w:tc>
      </w:tr>
      <w:tr w:rsidR="00A7271A" w:rsidRPr="00DC2901" w14:paraId="3303B24D" w14:textId="77777777" w:rsidTr="006E2F15">
        <w:trPr>
          <w:trHeight w:val="295"/>
        </w:trPr>
        <w:tc>
          <w:tcPr>
            <w:tcW w:w="1641" w:type="dxa"/>
            <w:shd w:val="clear" w:color="auto" w:fill="D9E2F3" w:themeFill="accent1" w:themeFillTint="33"/>
            <w:noWrap/>
            <w:vAlign w:val="center"/>
            <w:hideMark/>
          </w:tcPr>
          <w:p w14:paraId="2EE35029"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KLEB_CRE_RXH_0003</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186F269"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 xml:space="preserve">Klebsiella pneumoniae </w:t>
            </w:r>
            <w:proofErr w:type="spellStart"/>
            <w:r w:rsidRPr="002003F2">
              <w:rPr>
                <w:rFonts w:ascii="Calibri" w:hAnsi="Calibri" w:cs="Calibri"/>
                <w:color w:val="000000"/>
                <w:sz w:val="16"/>
                <w:szCs w:val="16"/>
              </w:rPr>
              <w:t>subsp</w:t>
            </w:r>
            <w:proofErr w:type="spellEnd"/>
            <w:r w:rsidRPr="002003F2">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110E84DB" w14:textId="77777777" w:rsidR="00A7271A" w:rsidRPr="00107F23" w:rsidRDefault="00A7271A" w:rsidP="006E2F15">
            <w:pPr>
              <w:jc w:val="center"/>
              <w:rPr>
                <w:rFonts w:ascii="Calibri" w:eastAsia="Times New Roman" w:hAnsi="Calibri" w:cs="Calibri"/>
                <w:color w:val="7030A0"/>
                <w:sz w:val="16"/>
                <w:szCs w:val="16"/>
                <w:lang w:eastAsia="en-ZA"/>
              </w:rPr>
            </w:pPr>
            <w:r w:rsidRPr="00107F23">
              <w:rPr>
                <w:rFonts w:ascii="Calibri" w:eastAsia="Times New Roman" w:hAnsi="Calibri" w:cs="Calibri"/>
                <w:color w:val="7030A0"/>
                <w:sz w:val="16"/>
                <w:szCs w:val="16"/>
                <w:lang w:eastAsia="en-ZA"/>
              </w:rPr>
              <w:t>RXH</w:t>
            </w:r>
          </w:p>
        </w:tc>
        <w:tc>
          <w:tcPr>
            <w:tcW w:w="851" w:type="dxa"/>
            <w:shd w:val="clear" w:color="auto" w:fill="D9E2F3" w:themeFill="accent1" w:themeFillTint="33"/>
            <w:vAlign w:val="center"/>
          </w:tcPr>
          <w:p w14:paraId="750B8FCF"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5798F8A0"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H714</w:t>
            </w:r>
          </w:p>
        </w:tc>
        <w:tc>
          <w:tcPr>
            <w:tcW w:w="975" w:type="dxa"/>
            <w:shd w:val="clear" w:color="auto" w:fill="D9E2F3" w:themeFill="accent1" w:themeFillTint="33"/>
            <w:noWrap/>
            <w:vAlign w:val="center"/>
            <w:hideMark/>
          </w:tcPr>
          <w:p w14:paraId="2286F8DB"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GCTCATGA</w:t>
            </w:r>
          </w:p>
        </w:tc>
        <w:tc>
          <w:tcPr>
            <w:tcW w:w="993" w:type="dxa"/>
            <w:shd w:val="clear" w:color="auto" w:fill="D9E2F3" w:themeFill="accent1" w:themeFillTint="33"/>
            <w:noWrap/>
            <w:vAlign w:val="center"/>
            <w:hideMark/>
          </w:tcPr>
          <w:p w14:paraId="2F059E29"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H506</w:t>
            </w:r>
          </w:p>
        </w:tc>
        <w:tc>
          <w:tcPr>
            <w:tcW w:w="976" w:type="dxa"/>
            <w:shd w:val="clear" w:color="auto" w:fill="D9E2F3" w:themeFill="accent1" w:themeFillTint="33"/>
            <w:noWrap/>
            <w:vAlign w:val="center"/>
            <w:hideMark/>
          </w:tcPr>
          <w:p w14:paraId="05915201"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ACTGCATA</w:t>
            </w:r>
          </w:p>
        </w:tc>
      </w:tr>
      <w:tr w:rsidR="00A7271A" w:rsidRPr="00DC2901" w14:paraId="135F246A" w14:textId="77777777" w:rsidTr="006E2F15">
        <w:trPr>
          <w:trHeight w:val="295"/>
        </w:trPr>
        <w:tc>
          <w:tcPr>
            <w:tcW w:w="1641" w:type="dxa"/>
            <w:shd w:val="clear" w:color="auto" w:fill="E2EFD9" w:themeFill="accent6" w:themeFillTint="33"/>
            <w:noWrap/>
            <w:vAlign w:val="center"/>
            <w:hideMark/>
          </w:tcPr>
          <w:p w14:paraId="2FDC07D2"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SERR_CRE_RXH_0005</w:t>
            </w:r>
          </w:p>
        </w:tc>
        <w:tc>
          <w:tcPr>
            <w:tcW w:w="1818"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2724C095"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Serratia marcescens</w:t>
            </w:r>
          </w:p>
        </w:tc>
        <w:tc>
          <w:tcPr>
            <w:tcW w:w="769" w:type="dxa"/>
            <w:shd w:val="clear" w:color="auto" w:fill="E2EFD9" w:themeFill="accent6" w:themeFillTint="33"/>
            <w:vAlign w:val="center"/>
          </w:tcPr>
          <w:p w14:paraId="47FCDDEF" w14:textId="77777777" w:rsidR="00A7271A" w:rsidRPr="00107F23" w:rsidRDefault="00A7271A" w:rsidP="006E2F15">
            <w:pPr>
              <w:jc w:val="center"/>
              <w:rPr>
                <w:rFonts w:ascii="Calibri" w:eastAsia="Times New Roman" w:hAnsi="Calibri" w:cs="Calibri"/>
                <w:color w:val="7030A0"/>
                <w:sz w:val="16"/>
                <w:szCs w:val="16"/>
                <w:lang w:eastAsia="en-ZA"/>
              </w:rPr>
            </w:pPr>
            <w:r w:rsidRPr="00107F23">
              <w:rPr>
                <w:rFonts w:ascii="Calibri" w:eastAsia="Times New Roman" w:hAnsi="Calibri" w:cs="Calibri"/>
                <w:color w:val="7030A0"/>
                <w:sz w:val="16"/>
                <w:szCs w:val="16"/>
                <w:lang w:eastAsia="en-ZA"/>
              </w:rPr>
              <w:t>RXH</w:t>
            </w:r>
          </w:p>
        </w:tc>
        <w:tc>
          <w:tcPr>
            <w:tcW w:w="851" w:type="dxa"/>
            <w:shd w:val="clear" w:color="auto" w:fill="E2EFD9" w:themeFill="accent6" w:themeFillTint="33"/>
            <w:vAlign w:val="center"/>
          </w:tcPr>
          <w:p w14:paraId="4ADAF071"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E2EFD9" w:themeFill="accent6" w:themeFillTint="33"/>
            <w:noWrap/>
            <w:vAlign w:val="center"/>
            <w:hideMark/>
          </w:tcPr>
          <w:p w14:paraId="4C46F7FE"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H705</w:t>
            </w:r>
          </w:p>
        </w:tc>
        <w:tc>
          <w:tcPr>
            <w:tcW w:w="975" w:type="dxa"/>
            <w:shd w:val="clear" w:color="auto" w:fill="E2EFD9" w:themeFill="accent6" w:themeFillTint="33"/>
            <w:noWrap/>
            <w:vAlign w:val="center"/>
            <w:hideMark/>
          </w:tcPr>
          <w:p w14:paraId="59A4960D"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GGACTCCT</w:t>
            </w:r>
          </w:p>
        </w:tc>
        <w:tc>
          <w:tcPr>
            <w:tcW w:w="993" w:type="dxa"/>
            <w:shd w:val="clear" w:color="auto" w:fill="E2EFD9" w:themeFill="accent6" w:themeFillTint="33"/>
            <w:noWrap/>
            <w:vAlign w:val="center"/>
            <w:hideMark/>
          </w:tcPr>
          <w:p w14:paraId="1A1D5534"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H517</w:t>
            </w:r>
          </w:p>
        </w:tc>
        <w:tc>
          <w:tcPr>
            <w:tcW w:w="976" w:type="dxa"/>
            <w:shd w:val="clear" w:color="auto" w:fill="E2EFD9" w:themeFill="accent6" w:themeFillTint="33"/>
            <w:noWrap/>
            <w:vAlign w:val="center"/>
            <w:hideMark/>
          </w:tcPr>
          <w:p w14:paraId="725A759E"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GCGTAAGA</w:t>
            </w:r>
          </w:p>
        </w:tc>
      </w:tr>
      <w:tr w:rsidR="00A7271A" w:rsidRPr="00DC2901" w14:paraId="63DC114B" w14:textId="77777777" w:rsidTr="006E2F15">
        <w:trPr>
          <w:trHeight w:val="295"/>
        </w:trPr>
        <w:tc>
          <w:tcPr>
            <w:tcW w:w="1641" w:type="dxa"/>
            <w:shd w:val="clear" w:color="auto" w:fill="FBE4D5" w:themeFill="accent2" w:themeFillTint="33"/>
            <w:noWrap/>
            <w:vAlign w:val="center"/>
            <w:hideMark/>
          </w:tcPr>
          <w:p w14:paraId="4404AD48"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ECLO_CRE_RXH_0006</w:t>
            </w:r>
          </w:p>
        </w:tc>
        <w:tc>
          <w:tcPr>
            <w:tcW w:w="1818" w:type="dxa"/>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02787488"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Enterobacter cloacae</w:t>
            </w:r>
          </w:p>
        </w:tc>
        <w:tc>
          <w:tcPr>
            <w:tcW w:w="769" w:type="dxa"/>
            <w:shd w:val="clear" w:color="auto" w:fill="FBE4D5" w:themeFill="accent2" w:themeFillTint="33"/>
            <w:vAlign w:val="center"/>
          </w:tcPr>
          <w:p w14:paraId="621B42EC" w14:textId="77777777" w:rsidR="00A7271A" w:rsidRPr="00107F23" w:rsidRDefault="00A7271A" w:rsidP="006E2F15">
            <w:pPr>
              <w:jc w:val="center"/>
              <w:rPr>
                <w:rFonts w:ascii="Calibri" w:eastAsia="Times New Roman" w:hAnsi="Calibri" w:cs="Calibri"/>
                <w:color w:val="7030A0"/>
                <w:sz w:val="16"/>
                <w:szCs w:val="16"/>
                <w:lang w:eastAsia="en-ZA"/>
              </w:rPr>
            </w:pPr>
            <w:r w:rsidRPr="00107F23">
              <w:rPr>
                <w:rFonts w:ascii="Calibri" w:eastAsia="Times New Roman" w:hAnsi="Calibri" w:cs="Calibri"/>
                <w:color w:val="7030A0"/>
                <w:sz w:val="16"/>
                <w:szCs w:val="16"/>
                <w:lang w:eastAsia="en-ZA"/>
              </w:rPr>
              <w:t>RXH</w:t>
            </w:r>
          </w:p>
        </w:tc>
        <w:tc>
          <w:tcPr>
            <w:tcW w:w="851" w:type="dxa"/>
            <w:shd w:val="clear" w:color="auto" w:fill="FBE4D5" w:themeFill="accent2" w:themeFillTint="33"/>
            <w:vAlign w:val="center"/>
          </w:tcPr>
          <w:p w14:paraId="4AE33672"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FBE4D5" w:themeFill="accent2" w:themeFillTint="33"/>
            <w:noWrap/>
            <w:vAlign w:val="center"/>
            <w:hideMark/>
          </w:tcPr>
          <w:p w14:paraId="09AC94AD"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H706</w:t>
            </w:r>
          </w:p>
        </w:tc>
        <w:tc>
          <w:tcPr>
            <w:tcW w:w="975" w:type="dxa"/>
            <w:shd w:val="clear" w:color="auto" w:fill="FBE4D5" w:themeFill="accent2" w:themeFillTint="33"/>
            <w:noWrap/>
            <w:vAlign w:val="center"/>
            <w:hideMark/>
          </w:tcPr>
          <w:p w14:paraId="3CD05B7B"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TAGGCATG</w:t>
            </w:r>
          </w:p>
        </w:tc>
        <w:tc>
          <w:tcPr>
            <w:tcW w:w="993" w:type="dxa"/>
            <w:shd w:val="clear" w:color="auto" w:fill="FBE4D5" w:themeFill="accent2" w:themeFillTint="33"/>
            <w:noWrap/>
            <w:vAlign w:val="center"/>
            <w:hideMark/>
          </w:tcPr>
          <w:p w14:paraId="20526516"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H517</w:t>
            </w:r>
          </w:p>
        </w:tc>
        <w:tc>
          <w:tcPr>
            <w:tcW w:w="976" w:type="dxa"/>
            <w:shd w:val="clear" w:color="auto" w:fill="FBE4D5" w:themeFill="accent2" w:themeFillTint="33"/>
            <w:noWrap/>
            <w:vAlign w:val="center"/>
            <w:hideMark/>
          </w:tcPr>
          <w:p w14:paraId="13FCC9F2"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GCGTAAGA</w:t>
            </w:r>
          </w:p>
        </w:tc>
      </w:tr>
      <w:tr w:rsidR="00A7271A" w:rsidRPr="00DC2901" w14:paraId="36B5F710" w14:textId="77777777" w:rsidTr="006E2F15">
        <w:trPr>
          <w:trHeight w:val="295"/>
        </w:trPr>
        <w:tc>
          <w:tcPr>
            <w:tcW w:w="1641" w:type="dxa"/>
            <w:shd w:val="clear" w:color="auto" w:fill="D9E2F3" w:themeFill="accent1" w:themeFillTint="33"/>
            <w:noWrap/>
            <w:vAlign w:val="center"/>
            <w:hideMark/>
          </w:tcPr>
          <w:p w14:paraId="0C9055EC"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KLEB_CRE_RXH_0008</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183CF2E3"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 xml:space="preserve">Klebsiella pneumoniae </w:t>
            </w:r>
            <w:proofErr w:type="spellStart"/>
            <w:r w:rsidRPr="002003F2">
              <w:rPr>
                <w:rFonts w:ascii="Calibri" w:hAnsi="Calibri" w:cs="Calibri"/>
                <w:color w:val="000000"/>
                <w:sz w:val="16"/>
                <w:szCs w:val="16"/>
              </w:rPr>
              <w:t>subsp</w:t>
            </w:r>
            <w:proofErr w:type="spellEnd"/>
            <w:r w:rsidRPr="002003F2">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753EB21F" w14:textId="77777777" w:rsidR="00A7271A" w:rsidRPr="00107F23" w:rsidRDefault="00A7271A" w:rsidP="006E2F15">
            <w:pPr>
              <w:jc w:val="center"/>
              <w:rPr>
                <w:rFonts w:ascii="Calibri" w:eastAsia="Times New Roman" w:hAnsi="Calibri" w:cs="Calibri"/>
                <w:color w:val="7030A0"/>
                <w:sz w:val="16"/>
                <w:szCs w:val="16"/>
                <w:lang w:eastAsia="en-ZA"/>
              </w:rPr>
            </w:pPr>
            <w:r w:rsidRPr="00107F23">
              <w:rPr>
                <w:rFonts w:ascii="Calibri" w:eastAsia="Times New Roman" w:hAnsi="Calibri" w:cs="Calibri"/>
                <w:color w:val="7030A0"/>
                <w:sz w:val="16"/>
                <w:szCs w:val="16"/>
                <w:lang w:eastAsia="en-ZA"/>
              </w:rPr>
              <w:t>RXH</w:t>
            </w:r>
          </w:p>
        </w:tc>
        <w:tc>
          <w:tcPr>
            <w:tcW w:w="851" w:type="dxa"/>
            <w:shd w:val="clear" w:color="auto" w:fill="D9E2F3" w:themeFill="accent1" w:themeFillTint="33"/>
            <w:vAlign w:val="center"/>
          </w:tcPr>
          <w:p w14:paraId="0144504B"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34C8F8A1"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H707</w:t>
            </w:r>
          </w:p>
        </w:tc>
        <w:tc>
          <w:tcPr>
            <w:tcW w:w="975" w:type="dxa"/>
            <w:shd w:val="clear" w:color="auto" w:fill="D9E2F3" w:themeFill="accent1" w:themeFillTint="33"/>
            <w:noWrap/>
            <w:vAlign w:val="center"/>
            <w:hideMark/>
          </w:tcPr>
          <w:p w14:paraId="1CF718DA"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CTCTCTAC</w:t>
            </w:r>
          </w:p>
        </w:tc>
        <w:tc>
          <w:tcPr>
            <w:tcW w:w="993" w:type="dxa"/>
            <w:shd w:val="clear" w:color="auto" w:fill="D9E2F3" w:themeFill="accent1" w:themeFillTint="33"/>
            <w:noWrap/>
            <w:vAlign w:val="center"/>
            <w:hideMark/>
          </w:tcPr>
          <w:p w14:paraId="4E811270"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H517</w:t>
            </w:r>
          </w:p>
        </w:tc>
        <w:tc>
          <w:tcPr>
            <w:tcW w:w="976" w:type="dxa"/>
            <w:shd w:val="clear" w:color="auto" w:fill="D9E2F3" w:themeFill="accent1" w:themeFillTint="33"/>
            <w:noWrap/>
            <w:vAlign w:val="center"/>
            <w:hideMark/>
          </w:tcPr>
          <w:p w14:paraId="48AD2D77"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GCGTAAGA</w:t>
            </w:r>
          </w:p>
        </w:tc>
      </w:tr>
      <w:tr w:rsidR="00A7271A" w:rsidRPr="00DC2901" w14:paraId="0C542602" w14:textId="77777777" w:rsidTr="006E2F15">
        <w:trPr>
          <w:trHeight w:val="295"/>
        </w:trPr>
        <w:tc>
          <w:tcPr>
            <w:tcW w:w="1641" w:type="dxa"/>
            <w:shd w:val="clear" w:color="auto" w:fill="D9E2F3" w:themeFill="accent1" w:themeFillTint="33"/>
            <w:noWrap/>
            <w:vAlign w:val="center"/>
            <w:hideMark/>
          </w:tcPr>
          <w:p w14:paraId="7DD3E990"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KLEB_CRE_RXH_0009</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45B447D3"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 xml:space="preserve">Klebsiella pneumoniae </w:t>
            </w:r>
            <w:proofErr w:type="spellStart"/>
            <w:r w:rsidRPr="002003F2">
              <w:rPr>
                <w:rFonts w:ascii="Calibri" w:hAnsi="Calibri" w:cs="Calibri"/>
                <w:color w:val="000000"/>
                <w:sz w:val="16"/>
                <w:szCs w:val="16"/>
              </w:rPr>
              <w:t>subsp</w:t>
            </w:r>
            <w:proofErr w:type="spellEnd"/>
            <w:r w:rsidRPr="002003F2">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30345613" w14:textId="77777777" w:rsidR="00A7271A" w:rsidRPr="00107F23" w:rsidRDefault="00A7271A" w:rsidP="006E2F15">
            <w:pPr>
              <w:jc w:val="center"/>
              <w:rPr>
                <w:rFonts w:ascii="Calibri" w:eastAsia="Times New Roman" w:hAnsi="Calibri" w:cs="Calibri"/>
                <w:color w:val="7030A0"/>
                <w:sz w:val="16"/>
                <w:szCs w:val="16"/>
                <w:lang w:eastAsia="en-ZA"/>
              </w:rPr>
            </w:pPr>
            <w:r w:rsidRPr="00107F23">
              <w:rPr>
                <w:rFonts w:ascii="Calibri" w:eastAsia="Times New Roman" w:hAnsi="Calibri" w:cs="Calibri"/>
                <w:color w:val="7030A0"/>
                <w:sz w:val="16"/>
                <w:szCs w:val="16"/>
                <w:lang w:eastAsia="en-ZA"/>
              </w:rPr>
              <w:t>RXH</w:t>
            </w:r>
          </w:p>
        </w:tc>
        <w:tc>
          <w:tcPr>
            <w:tcW w:w="851" w:type="dxa"/>
            <w:shd w:val="clear" w:color="auto" w:fill="D9E2F3" w:themeFill="accent1" w:themeFillTint="33"/>
            <w:vAlign w:val="center"/>
          </w:tcPr>
          <w:p w14:paraId="62D6EA5F"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69EA25B0"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H710</w:t>
            </w:r>
          </w:p>
        </w:tc>
        <w:tc>
          <w:tcPr>
            <w:tcW w:w="975" w:type="dxa"/>
            <w:shd w:val="clear" w:color="auto" w:fill="D9E2F3" w:themeFill="accent1" w:themeFillTint="33"/>
            <w:noWrap/>
            <w:vAlign w:val="center"/>
            <w:hideMark/>
          </w:tcPr>
          <w:p w14:paraId="56B4AF59"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CGAGGCTG</w:t>
            </w:r>
          </w:p>
        </w:tc>
        <w:tc>
          <w:tcPr>
            <w:tcW w:w="993" w:type="dxa"/>
            <w:shd w:val="clear" w:color="auto" w:fill="D9E2F3" w:themeFill="accent1" w:themeFillTint="33"/>
            <w:noWrap/>
            <w:vAlign w:val="center"/>
            <w:hideMark/>
          </w:tcPr>
          <w:p w14:paraId="6CB7BE13"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H517</w:t>
            </w:r>
          </w:p>
        </w:tc>
        <w:tc>
          <w:tcPr>
            <w:tcW w:w="976" w:type="dxa"/>
            <w:shd w:val="clear" w:color="auto" w:fill="D9E2F3" w:themeFill="accent1" w:themeFillTint="33"/>
            <w:noWrap/>
            <w:vAlign w:val="center"/>
            <w:hideMark/>
          </w:tcPr>
          <w:p w14:paraId="6003C973"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GCGTAAGA</w:t>
            </w:r>
          </w:p>
        </w:tc>
      </w:tr>
      <w:tr w:rsidR="00A7271A" w:rsidRPr="00DC2901" w14:paraId="36C88C2A" w14:textId="77777777" w:rsidTr="006E2F15">
        <w:trPr>
          <w:trHeight w:val="295"/>
        </w:trPr>
        <w:tc>
          <w:tcPr>
            <w:tcW w:w="1641" w:type="dxa"/>
            <w:shd w:val="clear" w:color="auto" w:fill="D9E2F3" w:themeFill="accent1" w:themeFillTint="33"/>
            <w:noWrap/>
            <w:vAlign w:val="center"/>
            <w:hideMark/>
          </w:tcPr>
          <w:p w14:paraId="1342DD6A"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KLEB_CRE_TBH_0008</w:t>
            </w:r>
          </w:p>
        </w:tc>
        <w:tc>
          <w:tcPr>
            <w:tcW w:w="1818"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0734F850" w14:textId="77777777" w:rsidR="00A7271A" w:rsidRPr="00DC2901" w:rsidRDefault="00A7271A" w:rsidP="006E2F15">
            <w:pPr>
              <w:jc w:val="center"/>
              <w:rPr>
                <w:rFonts w:ascii="Calibri" w:eastAsia="Times New Roman" w:hAnsi="Calibri" w:cs="Calibri"/>
                <w:color w:val="000000"/>
                <w:sz w:val="16"/>
                <w:szCs w:val="16"/>
                <w:lang w:eastAsia="en-ZA"/>
              </w:rPr>
            </w:pPr>
            <w:r w:rsidRPr="002003F2">
              <w:rPr>
                <w:rFonts w:ascii="Calibri" w:hAnsi="Calibri" w:cs="Calibri"/>
                <w:color w:val="000000"/>
                <w:sz w:val="16"/>
                <w:szCs w:val="16"/>
              </w:rPr>
              <w:t xml:space="preserve">Klebsiella pneumoniae </w:t>
            </w:r>
            <w:proofErr w:type="spellStart"/>
            <w:r w:rsidRPr="002003F2">
              <w:rPr>
                <w:rFonts w:ascii="Calibri" w:hAnsi="Calibri" w:cs="Calibri"/>
                <w:color w:val="000000"/>
                <w:sz w:val="16"/>
                <w:szCs w:val="16"/>
              </w:rPr>
              <w:t>subsp</w:t>
            </w:r>
            <w:proofErr w:type="spellEnd"/>
            <w:r w:rsidRPr="002003F2">
              <w:rPr>
                <w:rFonts w:ascii="Calibri" w:hAnsi="Calibri" w:cs="Calibri"/>
                <w:color w:val="000000"/>
                <w:sz w:val="16"/>
                <w:szCs w:val="16"/>
              </w:rPr>
              <w:t xml:space="preserve"> pneumoniae</w:t>
            </w:r>
          </w:p>
        </w:tc>
        <w:tc>
          <w:tcPr>
            <w:tcW w:w="769" w:type="dxa"/>
            <w:shd w:val="clear" w:color="auto" w:fill="D9E2F3" w:themeFill="accent1" w:themeFillTint="33"/>
            <w:vAlign w:val="center"/>
          </w:tcPr>
          <w:p w14:paraId="1626CF82" w14:textId="77777777" w:rsidR="00A7271A" w:rsidRPr="00107F23" w:rsidRDefault="00A7271A" w:rsidP="006E2F15">
            <w:pPr>
              <w:jc w:val="center"/>
              <w:rPr>
                <w:rFonts w:ascii="Calibri" w:eastAsia="Times New Roman" w:hAnsi="Calibri" w:cs="Calibri"/>
                <w:color w:val="FF66FF"/>
                <w:sz w:val="16"/>
                <w:szCs w:val="16"/>
                <w:lang w:eastAsia="en-ZA"/>
              </w:rPr>
            </w:pPr>
            <w:r w:rsidRPr="00107F23">
              <w:rPr>
                <w:rFonts w:ascii="Calibri" w:eastAsia="Times New Roman" w:hAnsi="Calibri" w:cs="Calibri"/>
                <w:color w:val="FF66FF"/>
                <w:sz w:val="16"/>
                <w:szCs w:val="16"/>
                <w:lang w:eastAsia="en-ZA"/>
              </w:rPr>
              <w:t>TBH</w:t>
            </w:r>
          </w:p>
        </w:tc>
        <w:tc>
          <w:tcPr>
            <w:tcW w:w="851" w:type="dxa"/>
            <w:shd w:val="clear" w:color="auto" w:fill="D9E2F3" w:themeFill="accent1" w:themeFillTint="33"/>
            <w:vAlign w:val="center"/>
          </w:tcPr>
          <w:p w14:paraId="69F37BC6" w14:textId="77777777" w:rsidR="00A7271A" w:rsidRPr="002003F2" w:rsidRDefault="00A7271A" w:rsidP="006E2F15">
            <w:pPr>
              <w:jc w:val="center"/>
              <w:rPr>
                <w:rFonts w:ascii="Calibri" w:eastAsia="Times New Roman" w:hAnsi="Calibri" w:cs="Calibri"/>
                <w:color w:val="ED7D31" w:themeColor="accent2"/>
                <w:sz w:val="16"/>
                <w:szCs w:val="16"/>
                <w:lang w:eastAsia="en-ZA"/>
              </w:rPr>
            </w:pPr>
            <w:r w:rsidRPr="002003F2">
              <w:rPr>
                <w:rFonts w:ascii="Calibri" w:eastAsia="Times New Roman" w:hAnsi="Calibri" w:cs="Calibri"/>
                <w:color w:val="ED7D31" w:themeColor="accent2"/>
                <w:sz w:val="16"/>
                <w:szCs w:val="16"/>
                <w:lang w:eastAsia="en-ZA"/>
              </w:rPr>
              <w:t>Pool B</w:t>
            </w:r>
          </w:p>
        </w:tc>
        <w:tc>
          <w:tcPr>
            <w:tcW w:w="993" w:type="dxa"/>
            <w:shd w:val="clear" w:color="auto" w:fill="D9E2F3" w:themeFill="accent1" w:themeFillTint="33"/>
            <w:noWrap/>
            <w:vAlign w:val="center"/>
            <w:hideMark/>
          </w:tcPr>
          <w:p w14:paraId="3CE05B0F"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H711</w:t>
            </w:r>
          </w:p>
        </w:tc>
        <w:tc>
          <w:tcPr>
            <w:tcW w:w="975" w:type="dxa"/>
            <w:shd w:val="clear" w:color="auto" w:fill="D9E2F3" w:themeFill="accent1" w:themeFillTint="33"/>
            <w:noWrap/>
            <w:vAlign w:val="center"/>
            <w:hideMark/>
          </w:tcPr>
          <w:p w14:paraId="06121928"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AAGAGGCA</w:t>
            </w:r>
          </w:p>
        </w:tc>
        <w:tc>
          <w:tcPr>
            <w:tcW w:w="993" w:type="dxa"/>
            <w:shd w:val="clear" w:color="auto" w:fill="D9E2F3" w:themeFill="accent1" w:themeFillTint="33"/>
            <w:noWrap/>
            <w:vAlign w:val="center"/>
            <w:hideMark/>
          </w:tcPr>
          <w:p w14:paraId="7F5BCAAD"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H517</w:t>
            </w:r>
          </w:p>
        </w:tc>
        <w:tc>
          <w:tcPr>
            <w:tcW w:w="976" w:type="dxa"/>
            <w:shd w:val="clear" w:color="auto" w:fill="D9E2F3" w:themeFill="accent1" w:themeFillTint="33"/>
            <w:noWrap/>
            <w:vAlign w:val="center"/>
            <w:hideMark/>
          </w:tcPr>
          <w:p w14:paraId="7F7B430F" w14:textId="77777777" w:rsidR="00A7271A" w:rsidRPr="00DC2901" w:rsidRDefault="00A7271A" w:rsidP="006E2F15">
            <w:pPr>
              <w:jc w:val="center"/>
              <w:rPr>
                <w:rFonts w:ascii="Calibri" w:eastAsia="Times New Roman" w:hAnsi="Calibri" w:cs="Calibri"/>
                <w:color w:val="000000"/>
                <w:sz w:val="16"/>
                <w:szCs w:val="16"/>
                <w:lang w:eastAsia="en-ZA"/>
              </w:rPr>
            </w:pPr>
            <w:r w:rsidRPr="00DC2901">
              <w:rPr>
                <w:rFonts w:ascii="Calibri" w:eastAsia="Times New Roman" w:hAnsi="Calibri" w:cs="Calibri"/>
                <w:color w:val="000000"/>
                <w:sz w:val="16"/>
                <w:szCs w:val="16"/>
                <w:lang w:eastAsia="en-ZA"/>
              </w:rPr>
              <w:t>GCGTAAGA</w:t>
            </w:r>
          </w:p>
        </w:tc>
      </w:tr>
    </w:tbl>
    <w:p w14:paraId="46B5E885" w14:textId="77777777" w:rsidR="00A7271A" w:rsidRDefault="00A7271A" w:rsidP="00A7271A">
      <w:pPr>
        <w:jc w:val="both"/>
        <w:rPr>
          <w:lang w:val="en-US"/>
        </w:rPr>
      </w:pPr>
    </w:p>
    <w:p w14:paraId="4BA6182C" w14:textId="4ADABC54" w:rsidR="00A7271A" w:rsidRPr="006C6EF7" w:rsidRDefault="006C6EF7" w:rsidP="00A7271A">
      <w:pPr>
        <w:jc w:val="both"/>
        <w:rPr>
          <w:b/>
          <w:bCs/>
          <w:lang w:val="en-US"/>
        </w:rPr>
      </w:pPr>
      <w:r w:rsidRPr="006C6EF7">
        <w:rPr>
          <w:b/>
          <w:bCs/>
          <w:lang w:val="en-US"/>
        </w:rPr>
        <w:t>Sequence data location:</w:t>
      </w:r>
    </w:p>
    <w:p w14:paraId="4477B550" w14:textId="387200B4" w:rsidR="006C6EF7" w:rsidRDefault="006C6EF7" w:rsidP="00A7271A">
      <w:pPr>
        <w:jc w:val="both"/>
        <w:rPr>
          <w:lang w:val="en-US"/>
        </w:rPr>
      </w:pPr>
      <w:r>
        <w:rPr>
          <w:lang w:val="en-US"/>
        </w:rPr>
        <w:t xml:space="preserve">All raw data is stored on the med micro server ATHENA. There were 2 runs, Pool A and B. </w:t>
      </w:r>
    </w:p>
    <w:p w14:paraId="426B0695" w14:textId="6039B14B" w:rsidR="00A7271A" w:rsidRDefault="006C6EF7" w:rsidP="006C6EF7">
      <w:pPr>
        <w:ind w:firstLine="720"/>
        <w:jc w:val="both"/>
        <w:rPr>
          <w:lang w:val="en-US"/>
        </w:rPr>
      </w:pPr>
      <w:r w:rsidRPr="006C6EF7">
        <w:rPr>
          <w:lang w:val="en-US"/>
        </w:rPr>
        <w:t>/</w:t>
      </w:r>
      <w:proofErr w:type="spellStart"/>
      <w:r w:rsidRPr="006C6EF7">
        <w:rPr>
          <w:lang w:val="en-US"/>
        </w:rPr>
        <w:t>MedMicro</w:t>
      </w:r>
      <w:proofErr w:type="spellEnd"/>
      <w:r w:rsidRPr="006C6EF7">
        <w:rPr>
          <w:lang w:val="en-US"/>
        </w:rPr>
        <w:t>/Clinton/CRE Pfizer Feb 2022/CRE study_1A_results_17022022</w:t>
      </w:r>
      <w:r w:rsidR="00DA0466">
        <w:rPr>
          <w:lang w:val="en-US"/>
        </w:rPr>
        <w:t xml:space="preserve"> </w:t>
      </w:r>
    </w:p>
    <w:p w14:paraId="3B329F76" w14:textId="20536CA1" w:rsidR="006C6EF7" w:rsidRDefault="006C6EF7" w:rsidP="006C6EF7">
      <w:pPr>
        <w:ind w:firstLine="720"/>
        <w:jc w:val="both"/>
        <w:rPr>
          <w:lang w:val="en-US"/>
        </w:rPr>
      </w:pPr>
      <w:r w:rsidRPr="006C6EF7">
        <w:rPr>
          <w:lang w:val="en-US"/>
        </w:rPr>
        <w:t>/</w:t>
      </w:r>
      <w:proofErr w:type="spellStart"/>
      <w:r w:rsidRPr="006C6EF7">
        <w:rPr>
          <w:lang w:val="en-US"/>
        </w:rPr>
        <w:t>MedMicro</w:t>
      </w:r>
      <w:proofErr w:type="spellEnd"/>
      <w:r w:rsidRPr="006C6EF7">
        <w:rPr>
          <w:lang w:val="en-US"/>
        </w:rPr>
        <w:t>/Clinton/CRE Pfizer Feb 2022/CRE study_1B_results_21022022</w:t>
      </w:r>
      <w:r w:rsidR="00DA0466">
        <w:rPr>
          <w:lang w:val="en-US"/>
        </w:rPr>
        <w:t xml:space="preserve"> </w:t>
      </w:r>
    </w:p>
    <w:p w14:paraId="3F7EA9F5" w14:textId="77777777" w:rsidR="006C6EF7" w:rsidRDefault="006C6EF7" w:rsidP="00A7271A">
      <w:pPr>
        <w:jc w:val="both"/>
        <w:rPr>
          <w:lang w:val="en-US"/>
        </w:rPr>
      </w:pPr>
    </w:p>
    <w:p w14:paraId="51A19BD6" w14:textId="77777777" w:rsidR="00A7271A" w:rsidRDefault="00A7271A" w:rsidP="00A7271A">
      <w:pPr>
        <w:jc w:val="both"/>
        <w:rPr>
          <w:lang w:val="en-US"/>
        </w:rPr>
      </w:pPr>
    </w:p>
    <w:p w14:paraId="10551851" w14:textId="0891D375" w:rsidR="00A7271A" w:rsidRDefault="00A7271A" w:rsidP="00A7271A">
      <w:pPr>
        <w:jc w:val="both"/>
        <w:rPr>
          <w:lang w:val="en-US"/>
        </w:rPr>
      </w:pPr>
    </w:p>
    <w:p w14:paraId="5D69EFB7" w14:textId="77777777" w:rsidR="006C6EF7" w:rsidRDefault="006C6EF7" w:rsidP="00A7271A">
      <w:pPr>
        <w:jc w:val="both"/>
        <w:rPr>
          <w:lang w:val="en-US"/>
        </w:rPr>
      </w:pPr>
    </w:p>
    <w:p w14:paraId="342FDB2C" w14:textId="77777777" w:rsidR="00A7271A" w:rsidRDefault="00A7271A" w:rsidP="00A7271A">
      <w:pPr>
        <w:jc w:val="both"/>
        <w:rPr>
          <w:lang w:val="en-US"/>
        </w:rPr>
      </w:pPr>
    </w:p>
    <w:p w14:paraId="36F51FD1" w14:textId="02554B5E" w:rsidR="00E87F8D" w:rsidRPr="00F37969" w:rsidRDefault="00E87F8D" w:rsidP="00E30099">
      <w:pPr>
        <w:jc w:val="both"/>
        <w:rPr>
          <w:i/>
          <w:iCs/>
          <w:lang w:val="en-US"/>
        </w:rPr>
      </w:pPr>
      <w:r w:rsidRPr="00F37969">
        <w:rPr>
          <w:i/>
          <w:iCs/>
          <w:lang w:val="en-US"/>
        </w:rPr>
        <w:lastRenderedPageBreak/>
        <w:t>Bioinformatics</w:t>
      </w:r>
    </w:p>
    <w:p w14:paraId="07F77CDB" w14:textId="32B658F6" w:rsidR="007864F8" w:rsidRDefault="00391CA7" w:rsidP="007014B8">
      <w:pPr>
        <w:jc w:val="both"/>
        <w:rPr>
          <w:lang w:val="en-US"/>
        </w:rPr>
      </w:pPr>
      <w:r>
        <w:rPr>
          <w:noProof/>
          <w:lang w:val="en-US"/>
        </w:rPr>
        <w:drawing>
          <wp:inline distT="0" distB="0" distL="0" distR="0" wp14:anchorId="5781C6ED" wp14:editId="6DF91FBF">
            <wp:extent cx="5832000" cy="4558472"/>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832000" cy="4558472"/>
                    </a:xfrm>
                    <a:prstGeom prst="rect">
                      <a:avLst/>
                    </a:prstGeom>
                  </pic:spPr>
                </pic:pic>
              </a:graphicData>
            </a:graphic>
          </wp:inline>
        </w:drawing>
      </w:r>
    </w:p>
    <w:p w14:paraId="7A79F25C" w14:textId="5F8BE55F" w:rsidR="006605BD" w:rsidRDefault="006605BD" w:rsidP="00EB65AF">
      <w:pPr>
        <w:spacing w:after="0" w:line="240" w:lineRule="auto"/>
        <w:jc w:val="both"/>
        <w:rPr>
          <w:lang w:val="en-US"/>
        </w:rPr>
      </w:pPr>
      <w:r>
        <w:rPr>
          <w:lang w:val="en-US"/>
        </w:rPr>
        <w:t xml:space="preserve">Figure 1. </w:t>
      </w:r>
      <w:r w:rsidR="00C015FA">
        <w:rPr>
          <w:lang w:val="en-US"/>
        </w:rPr>
        <w:t xml:space="preserve">Bioinformatics analysis workflow. </w:t>
      </w:r>
    </w:p>
    <w:p w14:paraId="4B521AA1" w14:textId="3E6DEF1E" w:rsidR="0062136D" w:rsidRDefault="003B4F36" w:rsidP="00EB65AF">
      <w:pPr>
        <w:spacing w:after="0" w:line="240" w:lineRule="auto"/>
        <w:jc w:val="both"/>
        <w:rPr>
          <w:lang w:val="en-US"/>
        </w:rPr>
      </w:pPr>
      <w:r>
        <w:rPr>
          <w:lang w:val="en-US"/>
        </w:rPr>
        <w:t>*</w:t>
      </w:r>
      <w:r w:rsidR="00F21CF1">
        <w:rPr>
          <w:lang w:val="en-US"/>
        </w:rPr>
        <w:t>Please refer to review</w:t>
      </w:r>
      <w:r w:rsidR="0062136D">
        <w:rPr>
          <w:lang w:val="en-US"/>
        </w:rPr>
        <w:t xml:space="preserve"> comparing AMR databases: </w:t>
      </w:r>
      <w:proofErr w:type="spellStart"/>
      <w:r w:rsidR="0062136D">
        <w:rPr>
          <w:lang w:val="en-US"/>
        </w:rPr>
        <w:t>Galhano</w:t>
      </w:r>
      <w:proofErr w:type="spellEnd"/>
      <w:r w:rsidR="0062136D">
        <w:rPr>
          <w:lang w:val="en-US"/>
        </w:rPr>
        <w:t xml:space="preserve"> et al. 2021 (</w:t>
      </w:r>
      <w:r w:rsidR="0062136D">
        <w:t xml:space="preserve">Microorganisms 2021, 9, 923. </w:t>
      </w:r>
      <w:hyperlink r:id="rId8" w:history="1">
        <w:r w:rsidR="0062136D" w:rsidRPr="00D41A6F">
          <w:rPr>
            <w:rStyle w:val="Hyperlink"/>
          </w:rPr>
          <w:t>https://doi.org/10.3390/microorganisms9050923</w:t>
        </w:r>
      </w:hyperlink>
      <w:r w:rsidR="0062136D">
        <w:rPr>
          <w:lang w:val="en-US"/>
        </w:rPr>
        <w:t>)</w:t>
      </w:r>
      <w:r w:rsidR="00EB65AF">
        <w:rPr>
          <w:lang w:val="en-US"/>
        </w:rPr>
        <w:t xml:space="preserve">; </w:t>
      </w:r>
      <w:proofErr w:type="spellStart"/>
      <w:r w:rsidR="005E1FFD">
        <w:rPr>
          <w:lang w:val="en-US"/>
        </w:rPr>
        <w:t>Boolchandani</w:t>
      </w:r>
      <w:proofErr w:type="spellEnd"/>
      <w:r w:rsidR="005E1FFD">
        <w:rPr>
          <w:lang w:val="en-US"/>
        </w:rPr>
        <w:t xml:space="preserve"> et al. 2019 (</w:t>
      </w:r>
      <w:r w:rsidR="00EB65AF" w:rsidRPr="00EB65AF">
        <w:rPr>
          <w:lang w:val="en-US"/>
        </w:rPr>
        <w:t xml:space="preserve">Nat Rev Genet. 2019 </w:t>
      </w:r>
      <w:proofErr w:type="gramStart"/>
      <w:r w:rsidR="00EB65AF" w:rsidRPr="00EB65AF">
        <w:rPr>
          <w:lang w:val="en-US"/>
        </w:rPr>
        <w:t>June ;</w:t>
      </w:r>
      <w:proofErr w:type="gramEnd"/>
      <w:r w:rsidR="00EB65AF" w:rsidRPr="00EB65AF">
        <w:rPr>
          <w:lang w:val="en-US"/>
        </w:rPr>
        <w:t xml:space="preserve"> 20(6): 356–370. doi:10.1038/s41576-019-0108-4.</w:t>
      </w:r>
      <w:r w:rsidR="005E1FFD">
        <w:rPr>
          <w:lang w:val="en-US"/>
        </w:rPr>
        <w:t>)</w:t>
      </w:r>
    </w:p>
    <w:p w14:paraId="678DA1E1" w14:textId="77777777" w:rsidR="00EB65AF" w:rsidRDefault="00EB65AF" w:rsidP="00EB65AF">
      <w:pPr>
        <w:spacing w:after="0" w:line="240" w:lineRule="auto"/>
        <w:jc w:val="both"/>
        <w:rPr>
          <w:lang w:val="en-US"/>
        </w:rPr>
      </w:pPr>
    </w:p>
    <w:p w14:paraId="1C024EDE" w14:textId="77777777" w:rsidR="00107C14" w:rsidRDefault="00107C14" w:rsidP="00EB65AF">
      <w:pPr>
        <w:spacing w:after="0" w:line="240" w:lineRule="auto"/>
        <w:jc w:val="both"/>
        <w:rPr>
          <w:i/>
          <w:iCs/>
          <w:lang w:val="en-US"/>
        </w:rPr>
      </w:pPr>
      <w:r w:rsidRPr="0008181D">
        <w:rPr>
          <w:i/>
          <w:iCs/>
          <w:lang w:val="en-US"/>
        </w:rPr>
        <w:t>R</w:t>
      </w:r>
      <w:r w:rsidR="00EF3237" w:rsidRPr="0008181D">
        <w:rPr>
          <w:i/>
          <w:iCs/>
          <w:lang w:val="en-US"/>
        </w:rPr>
        <w:t>eference genomes</w:t>
      </w:r>
      <w:r w:rsidRPr="0008181D">
        <w:rPr>
          <w:i/>
          <w:iCs/>
          <w:lang w:val="en-US"/>
        </w:rPr>
        <w:t>:</w:t>
      </w:r>
    </w:p>
    <w:p w14:paraId="635A99E9" w14:textId="77777777" w:rsidR="0008181D" w:rsidRPr="0008181D" w:rsidRDefault="0008181D" w:rsidP="00EB65AF">
      <w:pPr>
        <w:spacing w:after="0" w:line="240" w:lineRule="auto"/>
        <w:jc w:val="both"/>
        <w:rPr>
          <w:i/>
          <w:iCs/>
          <w:lang w:val="en-US"/>
        </w:rPr>
      </w:pPr>
    </w:p>
    <w:p w14:paraId="2B04D9F0" w14:textId="1F9859BE" w:rsidR="00A73209" w:rsidRDefault="00EF3237" w:rsidP="00EB65AF">
      <w:pPr>
        <w:spacing w:after="0" w:line="240" w:lineRule="auto"/>
        <w:jc w:val="both"/>
        <w:rPr>
          <w:lang w:val="en-US"/>
        </w:rPr>
      </w:pPr>
      <w:r w:rsidRPr="0008181D">
        <w:rPr>
          <w:i/>
          <w:iCs/>
          <w:lang w:val="en-US"/>
        </w:rPr>
        <w:t>Klebsiella pneumoniae</w:t>
      </w:r>
      <w:r w:rsidRPr="00EF3237">
        <w:rPr>
          <w:lang w:val="en-US"/>
        </w:rPr>
        <w:t xml:space="preserve"> – strain HS11286 (GenBank accession no. CP003200.1) (n=18); </w:t>
      </w:r>
      <w:r w:rsidRPr="0008181D">
        <w:rPr>
          <w:i/>
          <w:iCs/>
          <w:lang w:val="en-US"/>
        </w:rPr>
        <w:t>Serratia marcescens</w:t>
      </w:r>
      <w:r w:rsidRPr="00EF3237">
        <w:rPr>
          <w:lang w:val="en-US"/>
        </w:rPr>
        <w:t xml:space="preserve"> – strain KS10 (GenBank accession no. CP027798.1) (n=3); </w:t>
      </w:r>
      <w:r w:rsidRPr="0008181D">
        <w:rPr>
          <w:i/>
          <w:iCs/>
          <w:lang w:val="en-US"/>
        </w:rPr>
        <w:t>Escherichia coli</w:t>
      </w:r>
      <w:r w:rsidRPr="00EF3237">
        <w:rPr>
          <w:lang w:val="en-US"/>
        </w:rPr>
        <w:t xml:space="preserve"> – strain ATCC 25922 (GenBank accession no. ATCC 25922) (n=1); and </w:t>
      </w:r>
      <w:r w:rsidRPr="0008181D">
        <w:rPr>
          <w:i/>
          <w:iCs/>
          <w:lang w:val="en-US"/>
        </w:rPr>
        <w:t>Enterobacter cloacae</w:t>
      </w:r>
      <w:r w:rsidRPr="00EF3237">
        <w:rPr>
          <w:lang w:val="en-US"/>
        </w:rPr>
        <w:t xml:space="preserve"> – strain ATCC 13047 (GenBank accession no. NC_014121.1) (n=1).</w:t>
      </w:r>
    </w:p>
    <w:p w14:paraId="66D419B0" w14:textId="77777777" w:rsidR="00EB65AF" w:rsidRPr="007864F8" w:rsidRDefault="00EB65AF" w:rsidP="00EB65AF">
      <w:pPr>
        <w:spacing w:after="0" w:line="240" w:lineRule="auto"/>
        <w:jc w:val="both"/>
        <w:rPr>
          <w:lang w:val="en-US"/>
        </w:rPr>
      </w:pPr>
    </w:p>
    <w:p w14:paraId="06E619A4" w14:textId="6B4B08C6" w:rsidR="00017FB2" w:rsidRPr="00017FB2" w:rsidRDefault="00A73209" w:rsidP="00F946A5">
      <w:pPr>
        <w:jc w:val="both"/>
        <w:rPr>
          <w:i/>
          <w:iCs/>
          <w:lang w:val="en-US"/>
        </w:rPr>
      </w:pPr>
      <w:r>
        <w:rPr>
          <w:i/>
          <w:iCs/>
          <w:lang w:val="en-US"/>
        </w:rPr>
        <w:t>Sub analysis: Potentially compare results to previous publications:</w:t>
      </w:r>
    </w:p>
    <w:p w14:paraId="2814943B" w14:textId="35610DC4" w:rsidR="00F6332C" w:rsidRPr="00FC09A1" w:rsidRDefault="00F946A5" w:rsidP="00FC09A1">
      <w:pPr>
        <w:pStyle w:val="ListParagraph"/>
        <w:numPr>
          <w:ilvl w:val="0"/>
          <w:numId w:val="2"/>
        </w:numPr>
        <w:ind w:left="284" w:hanging="284"/>
        <w:jc w:val="both"/>
        <w:rPr>
          <w:lang w:val="en-US"/>
        </w:rPr>
      </w:pPr>
      <w:r w:rsidRPr="00FC09A1">
        <w:rPr>
          <w:lang w:val="en-US"/>
        </w:rPr>
        <w:t xml:space="preserve">Comparison on mobilome, resistome, methylome, virulome and </w:t>
      </w:r>
      <w:proofErr w:type="spellStart"/>
      <w:r w:rsidRPr="00FC09A1">
        <w:rPr>
          <w:lang w:val="en-US"/>
        </w:rPr>
        <w:t>phylogeography</w:t>
      </w:r>
      <w:proofErr w:type="spellEnd"/>
      <w:r w:rsidRPr="00FC09A1">
        <w:rPr>
          <w:lang w:val="en-US"/>
        </w:rPr>
        <w:t xml:space="preserve"> of Carbapenem-resistant </w:t>
      </w:r>
      <w:r w:rsidRPr="00FC09A1">
        <w:rPr>
          <w:i/>
          <w:iCs/>
          <w:lang w:val="en-US"/>
        </w:rPr>
        <w:t>K. pneumoniae</w:t>
      </w:r>
      <w:r w:rsidR="0034190E" w:rsidRPr="00FC09A1">
        <w:rPr>
          <w:lang w:val="en-US"/>
        </w:rPr>
        <w:t xml:space="preserve"> (CRKP)</w:t>
      </w:r>
      <w:r w:rsidRPr="00FC09A1">
        <w:rPr>
          <w:lang w:val="en-US"/>
        </w:rPr>
        <w:t xml:space="preserve"> </w:t>
      </w:r>
      <w:r w:rsidR="000B7805" w:rsidRPr="00FC09A1">
        <w:rPr>
          <w:lang w:val="en-US"/>
        </w:rPr>
        <w:t xml:space="preserve">collected in </w:t>
      </w:r>
      <w:r w:rsidR="00877525" w:rsidRPr="00FC09A1">
        <w:rPr>
          <w:lang w:val="en-US"/>
        </w:rPr>
        <w:t xml:space="preserve">Pretoria (2018) </w:t>
      </w:r>
      <w:r w:rsidR="00017FB2" w:rsidRPr="00FC09A1">
        <w:rPr>
          <w:lang w:val="en-US"/>
        </w:rPr>
        <w:t>(</w:t>
      </w:r>
      <w:proofErr w:type="spellStart"/>
      <w:r w:rsidR="00017FB2" w:rsidRPr="00FC09A1">
        <w:rPr>
          <w:lang w:val="en-US"/>
        </w:rPr>
        <w:t>Kopotso</w:t>
      </w:r>
      <w:proofErr w:type="spellEnd"/>
      <w:r w:rsidR="00017FB2" w:rsidRPr="00FC09A1">
        <w:rPr>
          <w:lang w:val="en-US"/>
        </w:rPr>
        <w:t xml:space="preserve"> et al 2020: DOI 10.1099/mgen.0.000474) </w:t>
      </w:r>
      <w:r w:rsidR="00877525" w:rsidRPr="00FC09A1">
        <w:rPr>
          <w:lang w:val="en-US"/>
        </w:rPr>
        <w:t>and Cape Town (2021)</w:t>
      </w:r>
      <w:r w:rsidR="00017FB2" w:rsidRPr="00FC09A1">
        <w:rPr>
          <w:lang w:val="en-US"/>
        </w:rPr>
        <w:t>.</w:t>
      </w:r>
    </w:p>
    <w:p w14:paraId="12A666BC" w14:textId="492EE679" w:rsidR="005219B3" w:rsidRPr="00FC09A1" w:rsidRDefault="00922BC9" w:rsidP="00FC09A1">
      <w:pPr>
        <w:pStyle w:val="ListParagraph"/>
        <w:numPr>
          <w:ilvl w:val="0"/>
          <w:numId w:val="2"/>
        </w:numPr>
        <w:ind w:left="284" w:hanging="284"/>
        <w:jc w:val="both"/>
        <w:rPr>
          <w:lang w:val="en-US"/>
        </w:rPr>
      </w:pPr>
      <w:proofErr w:type="spellStart"/>
      <w:r w:rsidRPr="00FC09A1">
        <w:rPr>
          <w:lang w:val="en-US"/>
        </w:rPr>
        <w:t>Pathogenomics</w:t>
      </w:r>
      <w:proofErr w:type="spellEnd"/>
      <w:r w:rsidRPr="00FC09A1">
        <w:rPr>
          <w:lang w:val="en-US"/>
        </w:rPr>
        <w:t xml:space="preserve"> and Evolutionary Epidemiology of Multi-Drug Resistant Clinical Klebsiella pneumoniae Isolated from Pretoria, South Africa </w:t>
      </w:r>
      <w:r w:rsidR="005219B3" w:rsidRPr="00FC09A1">
        <w:rPr>
          <w:lang w:val="en-US"/>
        </w:rPr>
        <w:t>(</w:t>
      </w:r>
      <w:proofErr w:type="spellStart"/>
      <w:r w:rsidR="00AC2371" w:rsidRPr="00FC09A1">
        <w:rPr>
          <w:lang w:val="en-US"/>
        </w:rPr>
        <w:t>Mbelle</w:t>
      </w:r>
      <w:proofErr w:type="spellEnd"/>
      <w:r w:rsidR="00AC2371" w:rsidRPr="00FC09A1">
        <w:rPr>
          <w:lang w:val="en-US"/>
        </w:rPr>
        <w:t xml:space="preserve"> et al 2020: </w:t>
      </w:r>
      <w:r w:rsidR="005219B3" w:rsidRPr="00FC09A1">
        <w:rPr>
          <w:lang w:val="en-US"/>
        </w:rPr>
        <w:t>DOI 10.1038/s41598-020-58012-8).</w:t>
      </w:r>
    </w:p>
    <w:p w14:paraId="2AEF7115" w14:textId="5877CA45" w:rsidR="005219B3" w:rsidRPr="00FC09A1" w:rsidRDefault="003F471F" w:rsidP="00FC09A1">
      <w:pPr>
        <w:pStyle w:val="ListParagraph"/>
        <w:numPr>
          <w:ilvl w:val="0"/>
          <w:numId w:val="2"/>
        </w:numPr>
        <w:ind w:left="284" w:hanging="284"/>
        <w:jc w:val="both"/>
        <w:rPr>
          <w:lang w:val="en-US"/>
        </w:rPr>
      </w:pPr>
      <w:r w:rsidRPr="00FC09A1">
        <w:rPr>
          <w:lang w:val="en-US"/>
        </w:rPr>
        <w:t>Klebsiella pneumoniae ST307 with blaOXA-181, South Africa, 2014–2016 (Lowe et al 2019: DOI: https://doi.org/10.3201/eid2504.181482)</w:t>
      </w:r>
    </w:p>
    <w:p w14:paraId="7EF2E238" w14:textId="456DD4EF" w:rsidR="008722E4" w:rsidRPr="008722E4" w:rsidRDefault="008722E4" w:rsidP="00F97F1F">
      <w:pPr>
        <w:jc w:val="both"/>
        <w:rPr>
          <w:b/>
          <w:bCs/>
          <w:lang w:val="en-US"/>
        </w:rPr>
      </w:pPr>
      <w:r w:rsidRPr="008722E4">
        <w:rPr>
          <w:b/>
          <w:bCs/>
          <w:lang w:val="en-US"/>
        </w:rPr>
        <w:lastRenderedPageBreak/>
        <w:t>References:</w:t>
      </w:r>
    </w:p>
    <w:p w14:paraId="1EC43CD0" w14:textId="41CA2F72" w:rsidR="009037BF" w:rsidRPr="009037BF" w:rsidRDefault="009037BF" w:rsidP="009037BF">
      <w:pPr>
        <w:widowControl w:val="0"/>
        <w:autoSpaceDE w:val="0"/>
        <w:autoSpaceDN w:val="0"/>
        <w:adjustRightInd w:val="0"/>
        <w:spacing w:line="240" w:lineRule="auto"/>
        <w:rPr>
          <w:rFonts w:ascii="Calibri" w:hAnsi="Calibri" w:cs="Calibri"/>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9037BF">
        <w:rPr>
          <w:rFonts w:ascii="Calibri" w:hAnsi="Calibri" w:cs="Calibri"/>
          <w:noProof/>
          <w:szCs w:val="24"/>
        </w:rPr>
        <w:t>1. Antimicrobial Resistance Collaborators. Global burden of bacterial antimicrobial resistance in 2019: a systematic analysis. Lancet. 2022;399:629–55.</w:t>
      </w:r>
    </w:p>
    <w:p w14:paraId="695DB899" w14:textId="77777777" w:rsidR="009037BF" w:rsidRPr="009037BF" w:rsidRDefault="009037BF" w:rsidP="009037BF">
      <w:pPr>
        <w:widowControl w:val="0"/>
        <w:autoSpaceDE w:val="0"/>
        <w:autoSpaceDN w:val="0"/>
        <w:adjustRightInd w:val="0"/>
        <w:spacing w:line="240" w:lineRule="auto"/>
        <w:rPr>
          <w:rFonts w:ascii="Calibri" w:hAnsi="Calibri" w:cs="Calibri"/>
          <w:noProof/>
          <w:szCs w:val="24"/>
        </w:rPr>
      </w:pPr>
      <w:r w:rsidRPr="009037BF">
        <w:rPr>
          <w:rFonts w:ascii="Calibri" w:hAnsi="Calibri" w:cs="Calibri"/>
          <w:noProof/>
          <w:szCs w:val="24"/>
        </w:rPr>
        <w:t>2. Organization WH. WHO Priority Pathogens List for R&amp;D of New Antibiotics. 2017. https://www.who.int/news/item/27-02-2017-who-publishes-list-of-bacteria-for-which-new-antibiotics-are-urgently-needed.</w:t>
      </w:r>
    </w:p>
    <w:p w14:paraId="4B7FB8E5" w14:textId="77777777" w:rsidR="009037BF" w:rsidRPr="009037BF" w:rsidRDefault="009037BF" w:rsidP="009037BF">
      <w:pPr>
        <w:widowControl w:val="0"/>
        <w:autoSpaceDE w:val="0"/>
        <w:autoSpaceDN w:val="0"/>
        <w:adjustRightInd w:val="0"/>
        <w:spacing w:line="240" w:lineRule="auto"/>
        <w:rPr>
          <w:rFonts w:ascii="Calibri" w:hAnsi="Calibri" w:cs="Calibri"/>
          <w:noProof/>
          <w:szCs w:val="24"/>
        </w:rPr>
      </w:pPr>
      <w:r w:rsidRPr="009037BF">
        <w:rPr>
          <w:rFonts w:ascii="Calibri" w:hAnsi="Calibri" w:cs="Calibri"/>
          <w:noProof/>
          <w:szCs w:val="24"/>
        </w:rPr>
        <w:t>3. Sheu CC, Lin SY, Chang YT, Lee CY, Chen YH, Hsueh PR. Management of infections caused by extended-spectrum β–lactamase-producing Enterobacteriaceae: current evidence and future prospects. Expert Rev Anti Infect Ther. 2018;16:205–18. doi:10.1080/14787210.2018.1436966.</w:t>
      </w:r>
    </w:p>
    <w:p w14:paraId="7DE517EF" w14:textId="77777777" w:rsidR="009037BF" w:rsidRPr="009037BF" w:rsidRDefault="009037BF" w:rsidP="009037BF">
      <w:pPr>
        <w:widowControl w:val="0"/>
        <w:autoSpaceDE w:val="0"/>
        <w:autoSpaceDN w:val="0"/>
        <w:adjustRightInd w:val="0"/>
        <w:spacing w:line="240" w:lineRule="auto"/>
        <w:rPr>
          <w:rFonts w:ascii="Calibri" w:hAnsi="Calibri" w:cs="Calibri"/>
          <w:noProof/>
          <w:szCs w:val="24"/>
        </w:rPr>
      </w:pPr>
      <w:r w:rsidRPr="009037BF">
        <w:rPr>
          <w:rFonts w:ascii="Calibri" w:hAnsi="Calibri" w:cs="Calibri"/>
          <w:noProof/>
          <w:szCs w:val="24"/>
        </w:rPr>
        <w:t>4. Suay-Garcia B, Perez-Gracia M. Present and future of Carbapenem-resistant Enterobacteriaceae (CRE) infections. Antibiotics. 2019;8:1–16.</w:t>
      </w:r>
    </w:p>
    <w:p w14:paraId="58D4177F" w14:textId="77777777" w:rsidR="009037BF" w:rsidRPr="009037BF" w:rsidRDefault="009037BF" w:rsidP="009037BF">
      <w:pPr>
        <w:widowControl w:val="0"/>
        <w:autoSpaceDE w:val="0"/>
        <w:autoSpaceDN w:val="0"/>
        <w:adjustRightInd w:val="0"/>
        <w:spacing w:line="240" w:lineRule="auto"/>
        <w:rPr>
          <w:rFonts w:ascii="Calibri" w:hAnsi="Calibri" w:cs="Calibri"/>
          <w:noProof/>
          <w:szCs w:val="24"/>
        </w:rPr>
      </w:pPr>
      <w:r w:rsidRPr="009037BF">
        <w:rPr>
          <w:rFonts w:ascii="Calibri" w:hAnsi="Calibri" w:cs="Calibri"/>
          <w:noProof/>
          <w:szCs w:val="24"/>
        </w:rPr>
        <w:t>5. Brink AJ. Epidemiology of carbapenem-resistant Gram-negative infections globally. Curr Opin Infect Dis. 2019;32:609–16.</w:t>
      </w:r>
    </w:p>
    <w:p w14:paraId="5B963DB9" w14:textId="77777777" w:rsidR="009037BF" w:rsidRPr="009037BF" w:rsidRDefault="009037BF" w:rsidP="009037BF">
      <w:pPr>
        <w:widowControl w:val="0"/>
        <w:autoSpaceDE w:val="0"/>
        <w:autoSpaceDN w:val="0"/>
        <w:adjustRightInd w:val="0"/>
        <w:spacing w:line="240" w:lineRule="auto"/>
        <w:rPr>
          <w:rFonts w:ascii="Calibri" w:hAnsi="Calibri" w:cs="Calibri"/>
          <w:noProof/>
          <w:szCs w:val="24"/>
        </w:rPr>
      </w:pPr>
      <w:r w:rsidRPr="009037BF">
        <w:rPr>
          <w:rFonts w:ascii="Calibri" w:hAnsi="Calibri" w:cs="Calibri"/>
          <w:noProof/>
          <w:szCs w:val="24"/>
        </w:rPr>
        <w:t>6. Singh-Moodley A. Phenotypic and genotypic correlation of carbapenememase-producing Enterobacteriaceae and problems experienced in routine screening. South African Med J. 2018;108:495–501.</w:t>
      </w:r>
    </w:p>
    <w:p w14:paraId="2DCAD333" w14:textId="77777777" w:rsidR="009037BF" w:rsidRPr="009037BF" w:rsidRDefault="009037BF" w:rsidP="009037BF">
      <w:pPr>
        <w:widowControl w:val="0"/>
        <w:autoSpaceDE w:val="0"/>
        <w:autoSpaceDN w:val="0"/>
        <w:adjustRightInd w:val="0"/>
        <w:spacing w:line="240" w:lineRule="auto"/>
        <w:rPr>
          <w:rFonts w:ascii="Calibri" w:hAnsi="Calibri" w:cs="Calibri"/>
          <w:noProof/>
          <w:szCs w:val="24"/>
        </w:rPr>
      </w:pPr>
      <w:r w:rsidRPr="009037BF">
        <w:rPr>
          <w:rFonts w:ascii="Calibri" w:hAnsi="Calibri" w:cs="Calibri"/>
          <w:noProof/>
          <w:szCs w:val="24"/>
        </w:rPr>
        <w:t>7. Brink A, Coetzee J, Clay C, Sithole S, Richards G, Poirel L, et al. Emergence of New Delhi Metallo-Beta-Lactamase (NDM-1) and Klebsiella pneumoniae Carbapenemase ( KPC-2 ) in South Africa. J Clin Microbiol. 2012;50:525–7.</w:t>
      </w:r>
    </w:p>
    <w:p w14:paraId="59152211" w14:textId="77777777" w:rsidR="009037BF" w:rsidRPr="009037BF" w:rsidRDefault="009037BF" w:rsidP="009037BF">
      <w:pPr>
        <w:widowControl w:val="0"/>
        <w:autoSpaceDE w:val="0"/>
        <w:autoSpaceDN w:val="0"/>
        <w:adjustRightInd w:val="0"/>
        <w:spacing w:line="240" w:lineRule="auto"/>
        <w:rPr>
          <w:rFonts w:ascii="Calibri" w:hAnsi="Calibri" w:cs="Calibri"/>
          <w:noProof/>
          <w:szCs w:val="24"/>
        </w:rPr>
      </w:pPr>
      <w:r w:rsidRPr="009037BF">
        <w:rPr>
          <w:rFonts w:ascii="Calibri" w:hAnsi="Calibri" w:cs="Calibri"/>
          <w:noProof/>
          <w:szCs w:val="24"/>
        </w:rPr>
        <w:t>8. Brink AJ, Coetzee J, Corcoran C, Clay CG, Hari-makkan D, Jacobson RK. Emergence of OXA-48 and OXA-181 Carbapenemases among Enterobacteriaceae in South Africa and Evidence of In Vivo Selection of Colistin Resistance as a Consequence of Selective Decontamination. J Clin Microbiol. 2013;51:369–72.</w:t>
      </w:r>
    </w:p>
    <w:p w14:paraId="218EA73F" w14:textId="54557BD6" w:rsidR="008722E4" w:rsidRDefault="009037BF" w:rsidP="00F97F1F">
      <w:pPr>
        <w:jc w:val="both"/>
        <w:rPr>
          <w:lang w:val="en-US"/>
        </w:rPr>
      </w:pPr>
      <w:r>
        <w:rPr>
          <w:lang w:val="en-US"/>
        </w:rPr>
        <w:fldChar w:fldCharType="end"/>
      </w:r>
    </w:p>
    <w:p w14:paraId="3794F1E7" w14:textId="77777777" w:rsidR="008722E4" w:rsidRDefault="008722E4" w:rsidP="00F97F1F">
      <w:pPr>
        <w:jc w:val="both"/>
        <w:rPr>
          <w:lang w:val="en-US"/>
        </w:rPr>
      </w:pPr>
    </w:p>
    <w:p w14:paraId="20DD0C3D" w14:textId="77777777" w:rsidR="00AF3FA5" w:rsidRPr="00DF6C8B" w:rsidRDefault="00AF3FA5" w:rsidP="00DF6C8B">
      <w:pPr>
        <w:rPr>
          <w:color w:val="FF0000"/>
          <w:lang w:val="en-US"/>
        </w:rPr>
      </w:pPr>
    </w:p>
    <w:sectPr w:rsidR="00AF3FA5" w:rsidRPr="00DF6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LTStd-BoldCn">
    <w:altName w:val="Cambria"/>
    <w:panose1 w:val="00000000000000000000"/>
    <w:charset w:val="00"/>
    <w:family w:val="roman"/>
    <w:notTrueType/>
    <w:pitch w:val="default"/>
  </w:font>
  <w:font w:name="MinionPro-Regular">
    <w:altName w:val="HGPMinchoE"/>
    <w:panose1 w:val="00000000000000000000"/>
    <w:charset w:val="00"/>
    <w:family w:val="roman"/>
    <w:notTrueType/>
    <w:pitch w:val="default"/>
  </w:font>
  <w:font w:name="MinionPro-It">
    <w:altName w:val="Cambria"/>
    <w:panose1 w:val="00000000000000000000"/>
    <w:charset w:val="00"/>
    <w:family w:val="roman"/>
    <w:notTrueType/>
    <w:pitch w:val="default"/>
  </w:font>
  <w:font w:name="GandhariUnicode-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8D3"/>
    <w:multiLevelType w:val="multilevel"/>
    <w:tmpl w:val="19D6B0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55E6C"/>
    <w:multiLevelType w:val="hybridMultilevel"/>
    <w:tmpl w:val="1F623A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19929137">
    <w:abstractNumId w:val="0"/>
  </w:num>
  <w:num w:numId="2" w16cid:durableId="706300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E8"/>
    <w:rsid w:val="000066CE"/>
    <w:rsid w:val="00006A49"/>
    <w:rsid w:val="00006CCC"/>
    <w:rsid w:val="00011E43"/>
    <w:rsid w:val="000127DD"/>
    <w:rsid w:val="00014FB8"/>
    <w:rsid w:val="000153A6"/>
    <w:rsid w:val="00017FB2"/>
    <w:rsid w:val="0002710E"/>
    <w:rsid w:val="0003325D"/>
    <w:rsid w:val="00036C3E"/>
    <w:rsid w:val="00053C6F"/>
    <w:rsid w:val="00061CD1"/>
    <w:rsid w:val="00066309"/>
    <w:rsid w:val="00073560"/>
    <w:rsid w:val="00076605"/>
    <w:rsid w:val="00076979"/>
    <w:rsid w:val="00077CA9"/>
    <w:rsid w:val="00081541"/>
    <w:rsid w:val="0008181D"/>
    <w:rsid w:val="00084593"/>
    <w:rsid w:val="00086D70"/>
    <w:rsid w:val="0009095F"/>
    <w:rsid w:val="0009460C"/>
    <w:rsid w:val="000A251B"/>
    <w:rsid w:val="000B0DC3"/>
    <w:rsid w:val="000B7805"/>
    <w:rsid w:val="000C3314"/>
    <w:rsid w:val="000C3C9E"/>
    <w:rsid w:val="000C5982"/>
    <w:rsid w:val="000D2070"/>
    <w:rsid w:val="000D49B8"/>
    <w:rsid w:val="000D62AF"/>
    <w:rsid w:val="000E03B8"/>
    <w:rsid w:val="000E0F79"/>
    <w:rsid w:val="000E1FB8"/>
    <w:rsid w:val="00107C14"/>
    <w:rsid w:val="00107F23"/>
    <w:rsid w:val="00120599"/>
    <w:rsid w:val="00127D87"/>
    <w:rsid w:val="001378E4"/>
    <w:rsid w:val="00144DA9"/>
    <w:rsid w:val="00144E61"/>
    <w:rsid w:val="00151179"/>
    <w:rsid w:val="00155B49"/>
    <w:rsid w:val="00161B7D"/>
    <w:rsid w:val="0016518C"/>
    <w:rsid w:val="001811E7"/>
    <w:rsid w:val="001969BF"/>
    <w:rsid w:val="001A48E2"/>
    <w:rsid w:val="001B3094"/>
    <w:rsid w:val="001C209A"/>
    <w:rsid w:val="001C23CA"/>
    <w:rsid w:val="001C5945"/>
    <w:rsid w:val="001D5609"/>
    <w:rsid w:val="001E04CE"/>
    <w:rsid w:val="001E56FA"/>
    <w:rsid w:val="001E7D86"/>
    <w:rsid w:val="001F1720"/>
    <w:rsid w:val="001F1E76"/>
    <w:rsid w:val="001F71BB"/>
    <w:rsid w:val="002003F2"/>
    <w:rsid w:val="002009F0"/>
    <w:rsid w:val="00204F35"/>
    <w:rsid w:val="002060F6"/>
    <w:rsid w:val="00206957"/>
    <w:rsid w:val="00207DDB"/>
    <w:rsid w:val="00217FE2"/>
    <w:rsid w:val="00225831"/>
    <w:rsid w:val="00232E12"/>
    <w:rsid w:val="002346D8"/>
    <w:rsid w:val="0023687B"/>
    <w:rsid w:val="00252892"/>
    <w:rsid w:val="00254DB4"/>
    <w:rsid w:val="00257195"/>
    <w:rsid w:val="002700F8"/>
    <w:rsid w:val="0027441D"/>
    <w:rsid w:val="00274D66"/>
    <w:rsid w:val="002827C8"/>
    <w:rsid w:val="00286B1F"/>
    <w:rsid w:val="00287A37"/>
    <w:rsid w:val="0029011F"/>
    <w:rsid w:val="00294732"/>
    <w:rsid w:val="00296BC9"/>
    <w:rsid w:val="002A1E8E"/>
    <w:rsid w:val="002B160B"/>
    <w:rsid w:val="002B4DC3"/>
    <w:rsid w:val="002B61FF"/>
    <w:rsid w:val="002B69B3"/>
    <w:rsid w:val="002C1AA2"/>
    <w:rsid w:val="002C35B1"/>
    <w:rsid w:val="002C5D6A"/>
    <w:rsid w:val="002C7693"/>
    <w:rsid w:val="002E28CA"/>
    <w:rsid w:val="002F4CAB"/>
    <w:rsid w:val="00302CFD"/>
    <w:rsid w:val="003103CE"/>
    <w:rsid w:val="00315ACA"/>
    <w:rsid w:val="00324FA3"/>
    <w:rsid w:val="00326896"/>
    <w:rsid w:val="0033318E"/>
    <w:rsid w:val="0033320A"/>
    <w:rsid w:val="00334912"/>
    <w:rsid w:val="00335E7D"/>
    <w:rsid w:val="0034190E"/>
    <w:rsid w:val="00351635"/>
    <w:rsid w:val="003533E3"/>
    <w:rsid w:val="00361215"/>
    <w:rsid w:val="00363594"/>
    <w:rsid w:val="00363C73"/>
    <w:rsid w:val="003659F8"/>
    <w:rsid w:val="00370474"/>
    <w:rsid w:val="00372F15"/>
    <w:rsid w:val="00384282"/>
    <w:rsid w:val="00391CA7"/>
    <w:rsid w:val="003A0270"/>
    <w:rsid w:val="003A2C22"/>
    <w:rsid w:val="003A4189"/>
    <w:rsid w:val="003B4F36"/>
    <w:rsid w:val="003C4727"/>
    <w:rsid w:val="003C7110"/>
    <w:rsid w:val="003D25A6"/>
    <w:rsid w:val="003D29FB"/>
    <w:rsid w:val="003D2F69"/>
    <w:rsid w:val="003E1061"/>
    <w:rsid w:val="003E4A43"/>
    <w:rsid w:val="003E4B35"/>
    <w:rsid w:val="003F298C"/>
    <w:rsid w:val="003F2C08"/>
    <w:rsid w:val="003F471F"/>
    <w:rsid w:val="00402AAA"/>
    <w:rsid w:val="00405358"/>
    <w:rsid w:val="00410E02"/>
    <w:rsid w:val="004136C8"/>
    <w:rsid w:val="00414290"/>
    <w:rsid w:val="00423C8C"/>
    <w:rsid w:val="00431D8C"/>
    <w:rsid w:val="004348E6"/>
    <w:rsid w:val="0043551B"/>
    <w:rsid w:val="00442A85"/>
    <w:rsid w:val="00444647"/>
    <w:rsid w:val="004448EB"/>
    <w:rsid w:val="0044490D"/>
    <w:rsid w:val="00445B6D"/>
    <w:rsid w:val="00464F21"/>
    <w:rsid w:val="00470A1C"/>
    <w:rsid w:val="00472AA6"/>
    <w:rsid w:val="00477F8B"/>
    <w:rsid w:val="0049523B"/>
    <w:rsid w:val="004B0F7A"/>
    <w:rsid w:val="004B141E"/>
    <w:rsid w:val="004B1655"/>
    <w:rsid w:val="004B18C1"/>
    <w:rsid w:val="004B2706"/>
    <w:rsid w:val="004B59CB"/>
    <w:rsid w:val="004D0751"/>
    <w:rsid w:val="004D248D"/>
    <w:rsid w:val="004E6426"/>
    <w:rsid w:val="005029C2"/>
    <w:rsid w:val="005065BB"/>
    <w:rsid w:val="00516B09"/>
    <w:rsid w:val="005219B3"/>
    <w:rsid w:val="00521B98"/>
    <w:rsid w:val="0052397A"/>
    <w:rsid w:val="005315C2"/>
    <w:rsid w:val="005327E3"/>
    <w:rsid w:val="00552A46"/>
    <w:rsid w:val="00552B51"/>
    <w:rsid w:val="00553327"/>
    <w:rsid w:val="00554C14"/>
    <w:rsid w:val="0056189B"/>
    <w:rsid w:val="00561BAB"/>
    <w:rsid w:val="00566AC0"/>
    <w:rsid w:val="00577B4B"/>
    <w:rsid w:val="00585F27"/>
    <w:rsid w:val="0059213D"/>
    <w:rsid w:val="00594A54"/>
    <w:rsid w:val="00597AE0"/>
    <w:rsid w:val="005A3F24"/>
    <w:rsid w:val="005A44C0"/>
    <w:rsid w:val="005A5D1C"/>
    <w:rsid w:val="005C0F4E"/>
    <w:rsid w:val="005C27C8"/>
    <w:rsid w:val="005C4439"/>
    <w:rsid w:val="005D0718"/>
    <w:rsid w:val="005E0CCF"/>
    <w:rsid w:val="005E1FFD"/>
    <w:rsid w:val="005E3357"/>
    <w:rsid w:val="005E45C7"/>
    <w:rsid w:val="005F593D"/>
    <w:rsid w:val="005F7827"/>
    <w:rsid w:val="00603B70"/>
    <w:rsid w:val="0060551C"/>
    <w:rsid w:val="00611A7B"/>
    <w:rsid w:val="00612E8D"/>
    <w:rsid w:val="006203EA"/>
    <w:rsid w:val="0062136D"/>
    <w:rsid w:val="00621E1D"/>
    <w:rsid w:val="0062672C"/>
    <w:rsid w:val="00633F92"/>
    <w:rsid w:val="00634C71"/>
    <w:rsid w:val="00635087"/>
    <w:rsid w:val="00642620"/>
    <w:rsid w:val="00651FC5"/>
    <w:rsid w:val="00652CAF"/>
    <w:rsid w:val="0065546F"/>
    <w:rsid w:val="006605BD"/>
    <w:rsid w:val="00661264"/>
    <w:rsid w:val="00663CF2"/>
    <w:rsid w:val="0066404A"/>
    <w:rsid w:val="00673E2A"/>
    <w:rsid w:val="00677FBA"/>
    <w:rsid w:val="00683FEB"/>
    <w:rsid w:val="006A600D"/>
    <w:rsid w:val="006C443B"/>
    <w:rsid w:val="006C5C52"/>
    <w:rsid w:val="006C5D30"/>
    <w:rsid w:val="006C6EF7"/>
    <w:rsid w:val="006D2D03"/>
    <w:rsid w:val="006D78B4"/>
    <w:rsid w:val="006F1D87"/>
    <w:rsid w:val="006F311C"/>
    <w:rsid w:val="006F4ACA"/>
    <w:rsid w:val="006F512F"/>
    <w:rsid w:val="007014B8"/>
    <w:rsid w:val="00701F46"/>
    <w:rsid w:val="0070535E"/>
    <w:rsid w:val="00713037"/>
    <w:rsid w:val="00725F92"/>
    <w:rsid w:val="007373E5"/>
    <w:rsid w:val="00741740"/>
    <w:rsid w:val="00772E4C"/>
    <w:rsid w:val="00783329"/>
    <w:rsid w:val="007836FD"/>
    <w:rsid w:val="00783C19"/>
    <w:rsid w:val="0078500E"/>
    <w:rsid w:val="007864F8"/>
    <w:rsid w:val="007A46B7"/>
    <w:rsid w:val="007B2071"/>
    <w:rsid w:val="007B3144"/>
    <w:rsid w:val="007C1CCE"/>
    <w:rsid w:val="007D4CEE"/>
    <w:rsid w:val="007D5B1D"/>
    <w:rsid w:val="007E11C0"/>
    <w:rsid w:val="007E22EC"/>
    <w:rsid w:val="007E4F12"/>
    <w:rsid w:val="007E5CB7"/>
    <w:rsid w:val="00802B83"/>
    <w:rsid w:val="00802C09"/>
    <w:rsid w:val="00805763"/>
    <w:rsid w:val="00806F63"/>
    <w:rsid w:val="00813BF2"/>
    <w:rsid w:val="008147AD"/>
    <w:rsid w:val="00814DC2"/>
    <w:rsid w:val="0081671C"/>
    <w:rsid w:val="00822553"/>
    <w:rsid w:val="008258E1"/>
    <w:rsid w:val="008303DE"/>
    <w:rsid w:val="008353A6"/>
    <w:rsid w:val="0083565C"/>
    <w:rsid w:val="008457A0"/>
    <w:rsid w:val="00845DDD"/>
    <w:rsid w:val="0085326F"/>
    <w:rsid w:val="008532F0"/>
    <w:rsid w:val="008577C7"/>
    <w:rsid w:val="008614F7"/>
    <w:rsid w:val="008679BD"/>
    <w:rsid w:val="00871513"/>
    <w:rsid w:val="008722E4"/>
    <w:rsid w:val="00877525"/>
    <w:rsid w:val="008776A1"/>
    <w:rsid w:val="00892ACB"/>
    <w:rsid w:val="00893939"/>
    <w:rsid w:val="008939A1"/>
    <w:rsid w:val="008A10B0"/>
    <w:rsid w:val="008A21DA"/>
    <w:rsid w:val="008A4ED5"/>
    <w:rsid w:val="008B1C12"/>
    <w:rsid w:val="008B4932"/>
    <w:rsid w:val="008B56B4"/>
    <w:rsid w:val="008B71CC"/>
    <w:rsid w:val="008C6C70"/>
    <w:rsid w:val="008D60B1"/>
    <w:rsid w:val="008E0339"/>
    <w:rsid w:val="008E298A"/>
    <w:rsid w:val="008E3BC3"/>
    <w:rsid w:val="008E541B"/>
    <w:rsid w:val="008F14C5"/>
    <w:rsid w:val="008F71B1"/>
    <w:rsid w:val="008F7CE2"/>
    <w:rsid w:val="00900202"/>
    <w:rsid w:val="00903633"/>
    <w:rsid w:val="009037BF"/>
    <w:rsid w:val="00922BC9"/>
    <w:rsid w:val="00923BA3"/>
    <w:rsid w:val="00925FB4"/>
    <w:rsid w:val="009410B9"/>
    <w:rsid w:val="00941390"/>
    <w:rsid w:val="0095188B"/>
    <w:rsid w:val="00956AAD"/>
    <w:rsid w:val="00956DE6"/>
    <w:rsid w:val="00965ED2"/>
    <w:rsid w:val="00974BAF"/>
    <w:rsid w:val="009770D3"/>
    <w:rsid w:val="00985AF6"/>
    <w:rsid w:val="009A2856"/>
    <w:rsid w:val="009A3ADE"/>
    <w:rsid w:val="009B07E4"/>
    <w:rsid w:val="009C2B2F"/>
    <w:rsid w:val="009C3D53"/>
    <w:rsid w:val="009C4C41"/>
    <w:rsid w:val="009C4F04"/>
    <w:rsid w:val="009D2890"/>
    <w:rsid w:val="009D2DCA"/>
    <w:rsid w:val="009D4316"/>
    <w:rsid w:val="009D529C"/>
    <w:rsid w:val="009F032D"/>
    <w:rsid w:val="009F4A13"/>
    <w:rsid w:val="00A01A30"/>
    <w:rsid w:val="00A02138"/>
    <w:rsid w:val="00A05C50"/>
    <w:rsid w:val="00A07773"/>
    <w:rsid w:val="00A11A9D"/>
    <w:rsid w:val="00A14F52"/>
    <w:rsid w:val="00A26200"/>
    <w:rsid w:val="00A410F5"/>
    <w:rsid w:val="00A5144F"/>
    <w:rsid w:val="00A557EE"/>
    <w:rsid w:val="00A56623"/>
    <w:rsid w:val="00A60224"/>
    <w:rsid w:val="00A628DB"/>
    <w:rsid w:val="00A638BC"/>
    <w:rsid w:val="00A67FDC"/>
    <w:rsid w:val="00A7271A"/>
    <w:rsid w:val="00A73209"/>
    <w:rsid w:val="00A751B1"/>
    <w:rsid w:val="00A76A2C"/>
    <w:rsid w:val="00A8102C"/>
    <w:rsid w:val="00A8204C"/>
    <w:rsid w:val="00A83283"/>
    <w:rsid w:val="00A8455B"/>
    <w:rsid w:val="00A932F9"/>
    <w:rsid w:val="00AA195F"/>
    <w:rsid w:val="00AA42C7"/>
    <w:rsid w:val="00AA66C1"/>
    <w:rsid w:val="00AB2A59"/>
    <w:rsid w:val="00AB6ADC"/>
    <w:rsid w:val="00AB6F75"/>
    <w:rsid w:val="00AC1C92"/>
    <w:rsid w:val="00AC2371"/>
    <w:rsid w:val="00AC5969"/>
    <w:rsid w:val="00AD0F3B"/>
    <w:rsid w:val="00AD683A"/>
    <w:rsid w:val="00AF19DA"/>
    <w:rsid w:val="00AF2975"/>
    <w:rsid w:val="00AF29C9"/>
    <w:rsid w:val="00AF3FA5"/>
    <w:rsid w:val="00B04615"/>
    <w:rsid w:val="00B06091"/>
    <w:rsid w:val="00B06755"/>
    <w:rsid w:val="00B10D41"/>
    <w:rsid w:val="00B1620C"/>
    <w:rsid w:val="00B17E1B"/>
    <w:rsid w:val="00B315E0"/>
    <w:rsid w:val="00B40DDE"/>
    <w:rsid w:val="00B47619"/>
    <w:rsid w:val="00B66C57"/>
    <w:rsid w:val="00B67F11"/>
    <w:rsid w:val="00B72604"/>
    <w:rsid w:val="00B867E8"/>
    <w:rsid w:val="00B92E0B"/>
    <w:rsid w:val="00B92E3E"/>
    <w:rsid w:val="00BB117B"/>
    <w:rsid w:val="00BB5FB0"/>
    <w:rsid w:val="00BC2F32"/>
    <w:rsid w:val="00BD0CA5"/>
    <w:rsid w:val="00BD3528"/>
    <w:rsid w:val="00BE16BA"/>
    <w:rsid w:val="00BE24C0"/>
    <w:rsid w:val="00BE45FC"/>
    <w:rsid w:val="00BE749C"/>
    <w:rsid w:val="00BF23C5"/>
    <w:rsid w:val="00C015FA"/>
    <w:rsid w:val="00C02CE2"/>
    <w:rsid w:val="00C03199"/>
    <w:rsid w:val="00C03226"/>
    <w:rsid w:val="00C07CB2"/>
    <w:rsid w:val="00C129B8"/>
    <w:rsid w:val="00C1410B"/>
    <w:rsid w:val="00C200E8"/>
    <w:rsid w:val="00C330DD"/>
    <w:rsid w:val="00C423AB"/>
    <w:rsid w:val="00C46CD7"/>
    <w:rsid w:val="00C479B4"/>
    <w:rsid w:val="00C51C31"/>
    <w:rsid w:val="00C5315D"/>
    <w:rsid w:val="00C568F0"/>
    <w:rsid w:val="00C6248F"/>
    <w:rsid w:val="00C634D7"/>
    <w:rsid w:val="00C6446B"/>
    <w:rsid w:val="00C8294C"/>
    <w:rsid w:val="00C90803"/>
    <w:rsid w:val="00CA5EC0"/>
    <w:rsid w:val="00CB0922"/>
    <w:rsid w:val="00CB1E8C"/>
    <w:rsid w:val="00CC2D4A"/>
    <w:rsid w:val="00CD04B9"/>
    <w:rsid w:val="00CD2080"/>
    <w:rsid w:val="00CD7F30"/>
    <w:rsid w:val="00CE3A69"/>
    <w:rsid w:val="00CF3876"/>
    <w:rsid w:val="00CF61A7"/>
    <w:rsid w:val="00CF7AA5"/>
    <w:rsid w:val="00D04926"/>
    <w:rsid w:val="00D20103"/>
    <w:rsid w:val="00D227FC"/>
    <w:rsid w:val="00D263BA"/>
    <w:rsid w:val="00D27954"/>
    <w:rsid w:val="00D32FE9"/>
    <w:rsid w:val="00D3395B"/>
    <w:rsid w:val="00D36191"/>
    <w:rsid w:val="00D52FC3"/>
    <w:rsid w:val="00D62443"/>
    <w:rsid w:val="00D638DD"/>
    <w:rsid w:val="00D80200"/>
    <w:rsid w:val="00D9251E"/>
    <w:rsid w:val="00D94175"/>
    <w:rsid w:val="00D9596E"/>
    <w:rsid w:val="00D97364"/>
    <w:rsid w:val="00DA0466"/>
    <w:rsid w:val="00DA2C13"/>
    <w:rsid w:val="00DA3701"/>
    <w:rsid w:val="00DA4584"/>
    <w:rsid w:val="00DB0C07"/>
    <w:rsid w:val="00DB2D8A"/>
    <w:rsid w:val="00DC2901"/>
    <w:rsid w:val="00DC7B4B"/>
    <w:rsid w:val="00DD33FE"/>
    <w:rsid w:val="00DD35FD"/>
    <w:rsid w:val="00DD5923"/>
    <w:rsid w:val="00DE2275"/>
    <w:rsid w:val="00DE255B"/>
    <w:rsid w:val="00DF24E8"/>
    <w:rsid w:val="00DF4B25"/>
    <w:rsid w:val="00DF6C8B"/>
    <w:rsid w:val="00E00CC8"/>
    <w:rsid w:val="00E0442C"/>
    <w:rsid w:val="00E0479F"/>
    <w:rsid w:val="00E073B8"/>
    <w:rsid w:val="00E163A8"/>
    <w:rsid w:val="00E172E0"/>
    <w:rsid w:val="00E2117A"/>
    <w:rsid w:val="00E2199F"/>
    <w:rsid w:val="00E21E91"/>
    <w:rsid w:val="00E21FCF"/>
    <w:rsid w:val="00E25800"/>
    <w:rsid w:val="00E25D30"/>
    <w:rsid w:val="00E26487"/>
    <w:rsid w:val="00E30099"/>
    <w:rsid w:val="00E36F74"/>
    <w:rsid w:val="00E37E56"/>
    <w:rsid w:val="00E4263E"/>
    <w:rsid w:val="00E476E1"/>
    <w:rsid w:val="00E54AD2"/>
    <w:rsid w:val="00E55F59"/>
    <w:rsid w:val="00E60109"/>
    <w:rsid w:val="00E60697"/>
    <w:rsid w:val="00E64971"/>
    <w:rsid w:val="00E66BA9"/>
    <w:rsid w:val="00E70506"/>
    <w:rsid w:val="00E706EA"/>
    <w:rsid w:val="00E70F26"/>
    <w:rsid w:val="00E74FA4"/>
    <w:rsid w:val="00E7502A"/>
    <w:rsid w:val="00E773BC"/>
    <w:rsid w:val="00E848CC"/>
    <w:rsid w:val="00E87F8D"/>
    <w:rsid w:val="00EA2278"/>
    <w:rsid w:val="00EA5A50"/>
    <w:rsid w:val="00EA79AA"/>
    <w:rsid w:val="00EB65AF"/>
    <w:rsid w:val="00EC18D5"/>
    <w:rsid w:val="00EC237C"/>
    <w:rsid w:val="00EC4F16"/>
    <w:rsid w:val="00ED3515"/>
    <w:rsid w:val="00ED4E27"/>
    <w:rsid w:val="00ED5D59"/>
    <w:rsid w:val="00ED7C19"/>
    <w:rsid w:val="00EE569E"/>
    <w:rsid w:val="00EE6F64"/>
    <w:rsid w:val="00EE7B07"/>
    <w:rsid w:val="00EF0647"/>
    <w:rsid w:val="00EF229C"/>
    <w:rsid w:val="00EF3237"/>
    <w:rsid w:val="00EF7AF2"/>
    <w:rsid w:val="00F030C9"/>
    <w:rsid w:val="00F05647"/>
    <w:rsid w:val="00F122EC"/>
    <w:rsid w:val="00F12A73"/>
    <w:rsid w:val="00F16FAF"/>
    <w:rsid w:val="00F20E01"/>
    <w:rsid w:val="00F212C1"/>
    <w:rsid w:val="00F21CF1"/>
    <w:rsid w:val="00F25CFE"/>
    <w:rsid w:val="00F25F99"/>
    <w:rsid w:val="00F31C0C"/>
    <w:rsid w:val="00F32A4C"/>
    <w:rsid w:val="00F37969"/>
    <w:rsid w:val="00F6332C"/>
    <w:rsid w:val="00F651F6"/>
    <w:rsid w:val="00F66BC3"/>
    <w:rsid w:val="00F67C36"/>
    <w:rsid w:val="00F70DE2"/>
    <w:rsid w:val="00F75038"/>
    <w:rsid w:val="00F75B1A"/>
    <w:rsid w:val="00F77883"/>
    <w:rsid w:val="00F8094D"/>
    <w:rsid w:val="00F932C6"/>
    <w:rsid w:val="00F9466E"/>
    <w:rsid w:val="00F946A5"/>
    <w:rsid w:val="00F94CC9"/>
    <w:rsid w:val="00F97F1F"/>
    <w:rsid w:val="00FA3555"/>
    <w:rsid w:val="00FA4147"/>
    <w:rsid w:val="00FB2F1C"/>
    <w:rsid w:val="00FC09A1"/>
    <w:rsid w:val="00FC4494"/>
    <w:rsid w:val="00FD0E71"/>
    <w:rsid w:val="00FE0E3D"/>
    <w:rsid w:val="00FE1385"/>
    <w:rsid w:val="00FF09A9"/>
    <w:rsid w:val="00FF1C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2C3E"/>
  <w15:chartTrackingRefBased/>
  <w15:docId w15:val="{03E17DB2-DCAF-4640-833C-036D392F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8455B"/>
    <w:rPr>
      <w:rFonts w:ascii="UniversLTStd-BoldCn" w:hAnsi="UniversLTStd-BoldCn" w:hint="default"/>
      <w:b/>
      <w:bCs/>
      <w:i w:val="0"/>
      <w:iCs w:val="0"/>
      <w:color w:val="242021"/>
      <w:sz w:val="16"/>
      <w:szCs w:val="16"/>
    </w:rPr>
  </w:style>
  <w:style w:type="character" w:customStyle="1" w:styleId="fontstyle21">
    <w:name w:val="fontstyle21"/>
    <w:basedOn w:val="DefaultParagraphFont"/>
    <w:rsid w:val="00A8455B"/>
    <w:rPr>
      <w:rFonts w:ascii="MinionPro-Regular" w:hAnsi="MinionPro-Regular" w:hint="default"/>
      <w:b w:val="0"/>
      <w:bCs w:val="0"/>
      <w:i w:val="0"/>
      <w:iCs w:val="0"/>
      <w:color w:val="242021"/>
      <w:sz w:val="20"/>
      <w:szCs w:val="20"/>
    </w:rPr>
  </w:style>
  <w:style w:type="character" w:customStyle="1" w:styleId="fontstyle31">
    <w:name w:val="fontstyle31"/>
    <w:basedOn w:val="DefaultParagraphFont"/>
    <w:rsid w:val="00A8455B"/>
    <w:rPr>
      <w:rFonts w:ascii="MinionPro-It" w:hAnsi="MinionPro-It" w:hint="default"/>
      <w:b w:val="0"/>
      <w:bCs w:val="0"/>
      <w:i/>
      <w:iCs/>
      <w:color w:val="242021"/>
      <w:sz w:val="20"/>
      <w:szCs w:val="20"/>
    </w:rPr>
  </w:style>
  <w:style w:type="character" w:customStyle="1" w:styleId="fontstyle41">
    <w:name w:val="fontstyle41"/>
    <w:basedOn w:val="DefaultParagraphFont"/>
    <w:rsid w:val="00A8455B"/>
    <w:rPr>
      <w:rFonts w:ascii="GandhariUnicode-Roman" w:hAnsi="GandhariUnicode-Roman" w:hint="default"/>
      <w:b w:val="0"/>
      <w:bCs w:val="0"/>
      <w:i w:val="0"/>
      <w:iCs w:val="0"/>
      <w:color w:val="242021"/>
      <w:sz w:val="20"/>
      <w:szCs w:val="20"/>
    </w:rPr>
  </w:style>
  <w:style w:type="table" w:styleId="TableGrid">
    <w:name w:val="Table Grid"/>
    <w:basedOn w:val="TableNormal"/>
    <w:uiPriority w:val="39"/>
    <w:rsid w:val="005F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E0B"/>
    <w:rPr>
      <w:sz w:val="16"/>
      <w:szCs w:val="16"/>
    </w:rPr>
  </w:style>
  <w:style w:type="paragraph" w:styleId="CommentText">
    <w:name w:val="annotation text"/>
    <w:basedOn w:val="Normal"/>
    <w:link w:val="CommentTextChar"/>
    <w:uiPriority w:val="99"/>
    <w:unhideWhenUsed/>
    <w:rsid w:val="00B92E0B"/>
    <w:pPr>
      <w:spacing w:line="240" w:lineRule="auto"/>
    </w:pPr>
    <w:rPr>
      <w:sz w:val="20"/>
      <w:szCs w:val="20"/>
    </w:rPr>
  </w:style>
  <w:style w:type="character" w:customStyle="1" w:styleId="CommentTextChar">
    <w:name w:val="Comment Text Char"/>
    <w:basedOn w:val="DefaultParagraphFont"/>
    <w:link w:val="CommentText"/>
    <w:uiPriority w:val="99"/>
    <w:rsid w:val="00B92E0B"/>
    <w:rPr>
      <w:sz w:val="20"/>
      <w:szCs w:val="20"/>
    </w:rPr>
  </w:style>
  <w:style w:type="paragraph" w:styleId="CommentSubject">
    <w:name w:val="annotation subject"/>
    <w:basedOn w:val="CommentText"/>
    <w:next w:val="CommentText"/>
    <w:link w:val="CommentSubjectChar"/>
    <w:uiPriority w:val="99"/>
    <w:semiHidden/>
    <w:unhideWhenUsed/>
    <w:rsid w:val="00B92E0B"/>
    <w:rPr>
      <w:b/>
      <w:bCs/>
    </w:rPr>
  </w:style>
  <w:style w:type="character" w:customStyle="1" w:styleId="CommentSubjectChar">
    <w:name w:val="Comment Subject Char"/>
    <w:basedOn w:val="CommentTextChar"/>
    <w:link w:val="CommentSubject"/>
    <w:uiPriority w:val="99"/>
    <w:semiHidden/>
    <w:rsid w:val="00B92E0B"/>
    <w:rPr>
      <w:b/>
      <w:bCs/>
      <w:sz w:val="20"/>
      <w:szCs w:val="20"/>
    </w:rPr>
  </w:style>
  <w:style w:type="paragraph" w:styleId="NormalWeb">
    <w:name w:val="Normal (Web)"/>
    <w:basedOn w:val="Normal"/>
    <w:uiPriority w:val="99"/>
    <w:semiHidden/>
    <w:unhideWhenUsed/>
    <w:rsid w:val="004136C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roduct-sku">
    <w:name w:val="product-sku"/>
    <w:basedOn w:val="Normal"/>
    <w:rsid w:val="004136C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97F1F"/>
    <w:rPr>
      <w:color w:val="0563C1" w:themeColor="hyperlink"/>
      <w:u w:val="single"/>
    </w:rPr>
  </w:style>
  <w:style w:type="character" w:styleId="UnresolvedMention">
    <w:name w:val="Unresolved Mention"/>
    <w:basedOn w:val="DefaultParagraphFont"/>
    <w:uiPriority w:val="99"/>
    <w:semiHidden/>
    <w:unhideWhenUsed/>
    <w:rsid w:val="00F97F1F"/>
    <w:rPr>
      <w:color w:val="605E5C"/>
      <w:shd w:val="clear" w:color="auto" w:fill="E1DFDD"/>
    </w:rPr>
  </w:style>
  <w:style w:type="paragraph" w:styleId="ListParagraph">
    <w:name w:val="List Paragraph"/>
    <w:basedOn w:val="Normal"/>
    <w:uiPriority w:val="34"/>
    <w:qFormat/>
    <w:rsid w:val="003B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60082">
      <w:bodyDiv w:val="1"/>
      <w:marLeft w:val="0"/>
      <w:marRight w:val="0"/>
      <w:marTop w:val="0"/>
      <w:marBottom w:val="0"/>
      <w:divBdr>
        <w:top w:val="none" w:sz="0" w:space="0" w:color="auto"/>
        <w:left w:val="none" w:sz="0" w:space="0" w:color="auto"/>
        <w:bottom w:val="none" w:sz="0" w:space="0" w:color="auto"/>
        <w:right w:val="none" w:sz="0" w:space="0" w:color="auto"/>
      </w:divBdr>
    </w:div>
    <w:div w:id="1029449335">
      <w:bodyDiv w:val="1"/>
      <w:marLeft w:val="0"/>
      <w:marRight w:val="0"/>
      <w:marTop w:val="0"/>
      <w:marBottom w:val="0"/>
      <w:divBdr>
        <w:top w:val="none" w:sz="0" w:space="0" w:color="auto"/>
        <w:left w:val="none" w:sz="0" w:space="0" w:color="auto"/>
        <w:bottom w:val="none" w:sz="0" w:space="0" w:color="auto"/>
        <w:right w:val="none" w:sz="0" w:space="0" w:color="auto"/>
      </w:divBdr>
      <w:divsChild>
        <w:div w:id="1036201160">
          <w:marLeft w:val="0"/>
          <w:marRight w:val="0"/>
          <w:marTop w:val="0"/>
          <w:marBottom w:val="0"/>
          <w:divBdr>
            <w:top w:val="none" w:sz="0" w:space="0" w:color="auto"/>
            <w:left w:val="none" w:sz="0" w:space="0" w:color="auto"/>
            <w:bottom w:val="none" w:sz="0" w:space="0" w:color="auto"/>
            <w:right w:val="none" w:sz="0" w:space="0" w:color="auto"/>
          </w:divBdr>
          <w:divsChild>
            <w:div w:id="1688553482">
              <w:marLeft w:val="0"/>
              <w:marRight w:val="0"/>
              <w:marTop w:val="0"/>
              <w:marBottom w:val="0"/>
              <w:divBdr>
                <w:top w:val="none" w:sz="0" w:space="0" w:color="auto"/>
                <w:left w:val="none" w:sz="0" w:space="0" w:color="auto"/>
                <w:bottom w:val="none" w:sz="0" w:space="0" w:color="auto"/>
                <w:right w:val="none" w:sz="0" w:space="0" w:color="auto"/>
              </w:divBdr>
            </w:div>
          </w:divsChild>
        </w:div>
        <w:div w:id="1220288985">
          <w:marLeft w:val="0"/>
          <w:marRight w:val="0"/>
          <w:marTop w:val="0"/>
          <w:marBottom w:val="0"/>
          <w:divBdr>
            <w:top w:val="none" w:sz="0" w:space="0" w:color="auto"/>
            <w:left w:val="none" w:sz="0" w:space="0" w:color="auto"/>
            <w:bottom w:val="none" w:sz="0" w:space="0" w:color="auto"/>
            <w:right w:val="none" w:sz="0" w:space="0" w:color="auto"/>
          </w:divBdr>
          <w:divsChild>
            <w:div w:id="1624771476">
              <w:marLeft w:val="0"/>
              <w:marRight w:val="0"/>
              <w:marTop w:val="0"/>
              <w:marBottom w:val="0"/>
              <w:divBdr>
                <w:top w:val="single" w:sz="6" w:space="0" w:color="E1E2E3"/>
                <w:left w:val="single" w:sz="6" w:space="0" w:color="E1E2E3"/>
                <w:bottom w:val="single" w:sz="6" w:space="0" w:color="E1E2E3"/>
                <w:right w:val="single" w:sz="6" w:space="0" w:color="E1E2E3"/>
              </w:divBdr>
            </w:div>
          </w:divsChild>
        </w:div>
        <w:div w:id="633829389">
          <w:marLeft w:val="150"/>
          <w:marRight w:val="0"/>
          <w:marTop w:val="0"/>
          <w:marBottom w:val="0"/>
          <w:divBdr>
            <w:top w:val="none" w:sz="0" w:space="0" w:color="auto"/>
            <w:left w:val="none" w:sz="0" w:space="0" w:color="auto"/>
            <w:bottom w:val="none" w:sz="0" w:space="0" w:color="auto"/>
            <w:right w:val="none" w:sz="0" w:space="0" w:color="auto"/>
          </w:divBdr>
        </w:div>
      </w:divsChild>
    </w:div>
    <w:div w:id="1143235902">
      <w:bodyDiv w:val="1"/>
      <w:marLeft w:val="0"/>
      <w:marRight w:val="0"/>
      <w:marTop w:val="0"/>
      <w:marBottom w:val="0"/>
      <w:divBdr>
        <w:top w:val="none" w:sz="0" w:space="0" w:color="auto"/>
        <w:left w:val="none" w:sz="0" w:space="0" w:color="auto"/>
        <w:bottom w:val="none" w:sz="0" w:space="0" w:color="auto"/>
        <w:right w:val="none" w:sz="0" w:space="0" w:color="auto"/>
      </w:divBdr>
    </w:div>
    <w:div w:id="20270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icroorganisms9050923"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D001-3581-4C19-AAA5-3A8BDFCF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6115</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Shantelle Claassen</dc:creator>
  <cp:keywords/>
  <dc:description/>
  <cp:lastModifiedBy>Clinton Moodley</cp:lastModifiedBy>
  <cp:revision>3</cp:revision>
  <dcterms:created xsi:type="dcterms:W3CDTF">2022-07-29T13:19:00Z</dcterms:created>
  <dcterms:modified xsi:type="dcterms:W3CDTF">2022-07-29T13:19:00Z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http://www.zotero.org/styles/biomed-central</vt:lpwstr>
  </property>
  <property fmtid="{D5CDD505-2E9C-101B-9397-08002B2CF9AE}" pid="7" name="Mendeley Recent Style Name 2_1">
    <vt:lpwstr>BioMed Central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b4261876-7406-3d1a-aee7-40d406e94684</vt:lpwstr>
  </property>
  <property fmtid="{D5CDD505-2E9C-101B-9397-08002B2CF9AE}" pid="24" name="Mendeley Citation Style_1">
    <vt:lpwstr>http://www.zotero.org/styles/biomed-central</vt:lpwstr>
  </property>
</Properties>
</file>